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244" w:type="dxa"/>
        <w:tblLayout w:type="fixed"/>
        <w:tblLook w:val="0020" w:firstRow="1" w:lastRow="0" w:firstColumn="0" w:lastColumn="0" w:noHBand="0" w:noVBand="0"/>
      </w:tblPr>
      <w:tblGrid>
        <w:gridCol w:w="4361"/>
        <w:gridCol w:w="4883"/>
      </w:tblGrid>
      <w:tr w:rsidR="00A20F86" w:rsidRPr="00A20F86" w14:paraId="2838C2B5" w14:textId="77777777" w:rsidTr="00697A4E">
        <w:tc>
          <w:tcPr>
            <w:tcW w:w="4361" w:type="dxa"/>
          </w:tcPr>
          <w:p w14:paraId="57E6C662" w14:textId="77777777" w:rsidR="00A20F86" w:rsidRPr="00A20F86" w:rsidRDefault="00A20F86" w:rsidP="00A20F86">
            <w:pPr>
              <w:overflowPunct w:val="0"/>
              <w:autoSpaceDE w:val="0"/>
              <w:autoSpaceDN w:val="0"/>
              <w:adjustRightInd w:val="0"/>
              <w:spacing w:before="80" w:after="80"/>
              <w:textAlignment w:val="baseline"/>
              <w:rPr>
                <w:rFonts w:ascii="Arial" w:hAnsi="Arial"/>
                <w:sz w:val="24"/>
                <w:szCs w:val="24"/>
              </w:rPr>
            </w:pPr>
            <w:r w:rsidRPr="00A20F86">
              <w:rPr>
                <w:rFonts w:ascii="Arial" w:hAnsi="Arial"/>
                <w:sz w:val="24"/>
                <w:szCs w:val="24"/>
              </w:rPr>
              <w:t>Schools Forum</w:t>
            </w:r>
          </w:p>
        </w:tc>
        <w:tc>
          <w:tcPr>
            <w:tcW w:w="4883" w:type="dxa"/>
          </w:tcPr>
          <w:p w14:paraId="4B557365" w14:textId="77777777" w:rsidR="00A20F86" w:rsidRPr="00A20F86" w:rsidRDefault="00A20F86" w:rsidP="00A20F86">
            <w:pPr>
              <w:overflowPunct w:val="0"/>
              <w:autoSpaceDE w:val="0"/>
              <w:autoSpaceDN w:val="0"/>
              <w:adjustRightInd w:val="0"/>
              <w:spacing w:before="80" w:after="80"/>
              <w:textAlignment w:val="baseline"/>
              <w:rPr>
                <w:rFonts w:ascii="Arial" w:hAnsi="Arial"/>
                <w:b/>
                <w:sz w:val="60"/>
              </w:rPr>
            </w:pPr>
            <w:r w:rsidRPr="00A20F86">
              <w:rPr>
                <w:rFonts w:ascii="Arial" w:hAnsi="Arial"/>
                <w:b/>
                <w:sz w:val="60"/>
              </w:rPr>
              <w:t>Agenda Item 4</w:t>
            </w:r>
          </w:p>
        </w:tc>
      </w:tr>
      <w:tr w:rsidR="00A20F86" w:rsidRPr="00A20F86" w14:paraId="5CDBDB06" w14:textId="77777777" w:rsidTr="00697A4E">
        <w:tc>
          <w:tcPr>
            <w:tcW w:w="4361" w:type="dxa"/>
          </w:tcPr>
          <w:p w14:paraId="24926B81" w14:textId="77777777" w:rsidR="00A20F86" w:rsidRPr="00A20F86" w:rsidRDefault="00A20F86" w:rsidP="00A20F86">
            <w:pPr>
              <w:overflowPunct w:val="0"/>
              <w:autoSpaceDE w:val="0"/>
              <w:autoSpaceDN w:val="0"/>
              <w:adjustRightInd w:val="0"/>
              <w:spacing w:before="80" w:after="80"/>
              <w:textAlignment w:val="baseline"/>
              <w:rPr>
                <w:rFonts w:ascii="Arial" w:hAnsi="Arial"/>
                <w:sz w:val="24"/>
                <w:szCs w:val="24"/>
              </w:rPr>
            </w:pPr>
            <w:r w:rsidRPr="00A20F86">
              <w:rPr>
                <w:rFonts w:ascii="Arial" w:hAnsi="Arial"/>
                <w:sz w:val="24"/>
                <w:szCs w:val="24"/>
              </w:rPr>
              <w:t>Date 30 September 2026</w:t>
            </w:r>
          </w:p>
        </w:tc>
        <w:tc>
          <w:tcPr>
            <w:tcW w:w="4883" w:type="dxa"/>
          </w:tcPr>
          <w:p w14:paraId="2032EDDC" w14:textId="77777777" w:rsidR="00A20F86" w:rsidRPr="00A20F86" w:rsidRDefault="00A20F86" w:rsidP="00A20F86">
            <w:pPr>
              <w:overflowPunct w:val="0"/>
              <w:autoSpaceDE w:val="0"/>
              <w:autoSpaceDN w:val="0"/>
              <w:adjustRightInd w:val="0"/>
              <w:textAlignment w:val="baseline"/>
              <w:rPr>
                <w:rFonts w:ascii="Arial" w:hAnsi="Arial"/>
              </w:rPr>
            </w:pPr>
          </w:p>
        </w:tc>
      </w:tr>
    </w:tbl>
    <w:p w14:paraId="796E67AB" w14:textId="77777777" w:rsidR="00A20F86" w:rsidRPr="00A20F86" w:rsidRDefault="00A20F86" w:rsidP="00A20F86">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B8BF9F1" w14:textId="77777777" w:rsidR="00A20F86" w:rsidRPr="00A20F86" w:rsidRDefault="00A20F86" w:rsidP="00A20F86">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64005EE7" w14:textId="77777777" w:rsidR="00A20F86" w:rsidRPr="00A20F86" w:rsidRDefault="00A20F86" w:rsidP="00A20F86">
      <w:pPr>
        <w:overflowPunct w:val="0"/>
        <w:autoSpaceDE w:val="0"/>
        <w:autoSpaceDN w:val="0"/>
        <w:adjustRightInd w:val="0"/>
        <w:spacing w:after="0" w:line="240" w:lineRule="auto"/>
        <w:textAlignment w:val="baseline"/>
        <w:rPr>
          <w:rFonts w:ascii="Arial" w:eastAsia="Times New Roman" w:hAnsi="Arial" w:cs="Times New Roman"/>
          <w:b/>
          <w:kern w:val="0"/>
          <w:szCs w:val="20"/>
          <w:lang w:eastAsia="en-GB"/>
          <w14:ligatures w14:val="none"/>
        </w:rPr>
      </w:pPr>
      <w:r w:rsidRPr="00A20F86">
        <w:rPr>
          <w:rFonts w:ascii="Arial" w:eastAsia="Times New Roman" w:hAnsi="Arial" w:cs="Times New Roman"/>
          <w:b/>
          <w:kern w:val="0"/>
          <w:szCs w:val="20"/>
          <w:lang w:eastAsia="en-GB"/>
          <w14:ligatures w14:val="none"/>
        </w:rPr>
        <w:t>REPORT TITLE: SCHOOL and HIGH NEEDS FUNDING 2027/28</w:t>
      </w:r>
    </w:p>
    <w:p w14:paraId="7D45A146" w14:textId="77777777" w:rsidR="00A20F86" w:rsidRPr="00A20F86" w:rsidRDefault="00A20F86" w:rsidP="00A20F86">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73490711" w14:textId="77777777" w:rsidR="00A20F86" w:rsidRPr="00A20F86" w:rsidRDefault="00A20F86" w:rsidP="00A20F86">
      <w:pPr>
        <w:pBdr>
          <w:bottom w:val="single" w:sz="6" w:space="1" w:color="auto"/>
        </w:pBd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r w:rsidRPr="00A20F86">
        <w:rPr>
          <w:rFonts w:ascii="Arial" w:eastAsia="Times New Roman" w:hAnsi="Arial" w:cs="Times New Roman"/>
          <w:kern w:val="0"/>
          <w:szCs w:val="20"/>
          <w:lang w:eastAsia="en-GB"/>
          <w14:ligatures w14:val="none"/>
        </w:rPr>
        <w:t>Report by Yannick Stupples-Whyley and Gareth Rott</w:t>
      </w:r>
    </w:p>
    <w:p w14:paraId="53A11521" w14:textId="77777777" w:rsidR="00A20F86" w:rsidRPr="00A20F86" w:rsidRDefault="00A20F86" w:rsidP="00A20F86">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r w:rsidRPr="00A20F86">
        <w:rPr>
          <w:rFonts w:ascii="Arial" w:eastAsia="Times New Roman" w:hAnsi="Arial" w:cs="Times New Roman"/>
          <w:kern w:val="0"/>
          <w:szCs w:val="20"/>
          <w:lang w:eastAsia="en-GB"/>
          <w14:ligatures w14:val="none"/>
        </w:rPr>
        <w:t xml:space="preserve">Contact details: Telephone (03330 138464); e-mail: </w:t>
      </w:r>
      <w:hyperlink r:id="rId10" w:history="1">
        <w:r w:rsidRPr="00A20F86">
          <w:rPr>
            <w:rFonts w:ascii="Arial" w:eastAsia="Times New Roman" w:hAnsi="Arial" w:cs="Times New Roman"/>
            <w:color w:val="0000FF"/>
            <w:kern w:val="0"/>
            <w:szCs w:val="20"/>
            <w:u w:val="single"/>
            <w:lang w:eastAsia="en-GB"/>
            <w14:ligatures w14:val="none"/>
          </w:rPr>
          <w:t>yannick.stupples-whyley@essex.gov.uk</w:t>
        </w:r>
      </w:hyperlink>
      <w:r w:rsidRPr="00A20F86">
        <w:rPr>
          <w:rFonts w:ascii="Arial" w:eastAsia="Times New Roman" w:hAnsi="Arial" w:cs="Times New Roman"/>
          <w:kern w:val="0"/>
          <w:szCs w:val="20"/>
          <w:lang w:eastAsia="en-GB"/>
          <w14:ligatures w14:val="none"/>
        </w:rPr>
        <w:t xml:space="preserve">, </w:t>
      </w:r>
      <w:hyperlink r:id="rId11" w:history="1">
        <w:r w:rsidRPr="00A20F86">
          <w:rPr>
            <w:rFonts w:ascii="Arial" w:eastAsia="Times New Roman" w:hAnsi="Arial" w:cs="Times New Roman"/>
            <w:color w:val="0000FF"/>
            <w:kern w:val="0"/>
            <w:szCs w:val="20"/>
            <w:u w:val="single"/>
            <w:lang w:eastAsia="en-GB"/>
            <w14:ligatures w14:val="none"/>
          </w:rPr>
          <w:t>gareth.rott@essex.gov.uk</w:t>
        </w:r>
      </w:hyperlink>
      <w:r w:rsidRPr="00A20F86">
        <w:rPr>
          <w:rFonts w:ascii="Arial" w:eastAsia="Times New Roman" w:hAnsi="Arial" w:cs="Times New Roman"/>
          <w:kern w:val="0"/>
          <w:szCs w:val="20"/>
          <w:lang w:eastAsia="en-GB"/>
          <w14:ligatures w14:val="none"/>
        </w:rPr>
        <w:t xml:space="preserve"> </w:t>
      </w:r>
    </w:p>
    <w:p w14:paraId="65B479DD" w14:textId="77777777" w:rsidR="00A20F86" w:rsidRPr="00A20F86" w:rsidRDefault="00A20F86" w:rsidP="00A20F86">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57B3FC2F" w14:textId="77777777" w:rsidR="00A20F86" w:rsidRPr="00A20F86" w:rsidRDefault="00A20F86" w:rsidP="00A20F86">
      <w:pPr>
        <w:spacing w:after="0" w:line="240" w:lineRule="auto"/>
        <w:ind w:left="540" w:hanging="540"/>
        <w:rPr>
          <w:rFonts w:ascii="Arial" w:eastAsia="Times New Roman" w:hAnsi="Arial" w:cs="Times New Roman"/>
          <w:b/>
          <w:kern w:val="0"/>
          <w:lang w:eastAsia="en-GB"/>
          <w14:ligatures w14:val="none"/>
        </w:rPr>
      </w:pPr>
      <w:r w:rsidRPr="00A20F86">
        <w:rPr>
          <w:rFonts w:ascii="Arial" w:eastAsia="Times New Roman" w:hAnsi="Arial" w:cs="Times New Roman"/>
          <w:b/>
          <w:kern w:val="0"/>
          <w:lang w:eastAsia="en-GB"/>
          <w14:ligatures w14:val="none"/>
        </w:rPr>
        <w:t xml:space="preserve">1. </w:t>
      </w:r>
      <w:r w:rsidRPr="00A20F86">
        <w:rPr>
          <w:rFonts w:ascii="Arial" w:eastAsia="Times New Roman" w:hAnsi="Arial" w:cs="Times New Roman"/>
          <w:b/>
          <w:kern w:val="0"/>
          <w:lang w:eastAsia="en-GB"/>
          <w14:ligatures w14:val="none"/>
        </w:rPr>
        <w:tab/>
        <w:t xml:space="preserve">Purpose of report </w:t>
      </w:r>
    </w:p>
    <w:p w14:paraId="2EDE7C4E" w14:textId="77777777" w:rsidR="00A20F86" w:rsidRPr="00A20F86" w:rsidRDefault="00A20F86" w:rsidP="00A20F86">
      <w:pPr>
        <w:spacing w:after="0" w:line="240" w:lineRule="auto"/>
        <w:jc w:val="both"/>
        <w:rPr>
          <w:rFonts w:ascii="Arial" w:eastAsia="Times New Roman" w:hAnsi="Arial" w:cs="Times New Roman"/>
          <w:kern w:val="0"/>
          <w:lang w:eastAsia="en-GB"/>
          <w14:ligatures w14:val="none"/>
        </w:rPr>
      </w:pPr>
    </w:p>
    <w:p w14:paraId="28537F06" w14:textId="77777777" w:rsidR="00A20F86" w:rsidRPr="00A20F86" w:rsidRDefault="00A20F86" w:rsidP="00A20F86">
      <w:pPr>
        <w:numPr>
          <w:ilvl w:val="1"/>
          <w:numId w:val="1"/>
        </w:numPr>
        <w:spacing w:after="0" w:line="240" w:lineRule="auto"/>
        <w:contextualSpacing/>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To update Schools Forum of the delay in the announcement of the provisional settlement for 2027/28.</w:t>
      </w:r>
      <w:r w:rsidRPr="00A20F86">
        <w:rPr>
          <w:rFonts w:ascii="Arial" w:eastAsia="Times New Roman" w:hAnsi="Arial" w:cs="Times New Roman"/>
          <w:kern w:val="0"/>
          <w:lang w:eastAsia="en-GB"/>
          <w14:ligatures w14:val="none"/>
        </w:rPr>
        <w:br/>
      </w:r>
    </w:p>
    <w:p w14:paraId="263CD5FC" w14:textId="77777777" w:rsidR="00A20F86" w:rsidRPr="00A20F86" w:rsidRDefault="00A20F86" w:rsidP="00A20F86">
      <w:pPr>
        <w:numPr>
          <w:ilvl w:val="1"/>
          <w:numId w:val="1"/>
        </w:numPr>
        <w:spacing w:after="0" w:line="240" w:lineRule="auto"/>
        <w:contextualSpacing/>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To update Schools Forum of the pressures within the High Needs Block for 2027/28 to 2030/31.</w:t>
      </w:r>
      <w:r w:rsidRPr="00A20F86">
        <w:rPr>
          <w:rFonts w:ascii="Arial" w:eastAsia="Times New Roman" w:hAnsi="Arial" w:cs="Times New Roman"/>
          <w:kern w:val="0"/>
          <w:lang w:eastAsia="en-GB"/>
          <w14:ligatures w14:val="none"/>
        </w:rPr>
        <w:br/>
      </w:r>
    </w:p>
    <w:p w14:paraId="06E9DEFF" w14:textId="77777777" w:rsidR="00A20F86" w:rsidRPr="00A20F86" w:rsidRDefault="00A20F86" w:rsidP="00A20F86">
      <w:pPr>
        <w:numPr>
          <w:ilvl w:val="1"/>
          <w:numId w:val="1"/>
        </w:numPr>
        <w:spacing w:after="0" w:line="240" w:lineRule="auto"/>
        <w:contextualSpacing/>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To present the proposal to Schools Forum to transfer 1% (c.£13.3m) from the Schools Block to the High Needs Block.</w:t>
      </w:r>
      <w:r w:rsidRPr="00A20F86">
        <w:rPr>
          <w:rFonts w:ascii="Arial" w:eastAsia="Times New Roman" w:hAnsi="Arial" w:cs="Times New Roman"/>
          <w:kern w:val="0"/>
          <w:lang w:eastAsia="en-GB"/>
          <w14:ligatures w14:val="none"/>
        </w:rPr>
        <w:br/>
      </w:r>
    </w:p>
    <w:p w14:paraId="551C83D3" w14:textId="77777777" w:rsidR="00A20F86" w:rsidRPr="00A20F86" w:rsidRDefault="00A20F86" w:rsidP="00A20F86">
      <w:pPr>
        <w:numPr>
          <w:ilvl w:val="1"/>
          <w:numId w:val="1"/>
        </w:numPr>
        <w:spacing w:after="0" w:line="240" w:lineRule="auto"/>
        <w:contextualSpacing/>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 xml:space="preserve">To present to Schools Forum the proposed consultation paper. </w:t>
      </w:r>
    </w:p>
    <w:p w14:paraId="41FA0F6B"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312E4693" w14:textId="77777777" w:rsidR="00A20F86" w:rsidRPr="00A20F86" w:rsidRDefault="00A20F86" w:rsidP="00A20F86">
      <w:pPr>
        <w:spacing w:after="0" w:line="240" w:lineRule="auto"/>
        <w:jc w:val="both"/>
        <w:rPr>
          <w:rFonts w:ascii="Arial" w:eastAsia="Times New Roman" w:hAnsi="Arial" w:cs="Times New Roman"/>
          <w:kern w:val="0"/>
          <w:lang w:eastAsia="en-GB"/>
          <w14:ligatures w14:val="none"/>
        </w:rPr>
      </w:pPr>
    </w:p>
    <w:p w14:paraId="575652E9" w14:textId="77777777" w:rsidR="00A20F86" w:rsidRPr="00A20F86" w:rsidRDefault="00A20F86" w:rsidP="00A20F86">
      <w:pPr>
        <w:spacing w:after="0" w:line="240" w:lineRule="auto"/>
        <w:ind w:left="540" w:hanging="540"/>
        <w:rPr>
          <w:rFonts w:ascii="Arial" w:eastAsia="Times New Roman" w:hAnsi="Arial" w:cs="Times New Roman"/>
          <w:b/>
          <w:kern w:val="0"/>
          <w:lang w:eastAsia="en-GB"/>
          <w14:ligatures w14:val="none"/>
        </w:rPr>
      </w:pPr>
      <w:r w:rsidRPr="00A20F86">
        <w:rPr>
          <w:rFonts w:ascii="Arial" w:eastAsia="Times New Roman" w:hAnsi="Arial" w:cs="Times New Roman"/>
          <w:b/>
          <w:kern w:val="0"/>
          <w:lang w:eastAsia="en-GB"/>
          <w14:ligatures w14:val="none"/>
        </w:rPr>
        <w:t xml:space="preserve">2. </w:t>
      </w:r>
      <w:r w:rsidRPr="00A20F86">
        <w:rPr>
          <w:rFonts w:ascii="Arial" w:eastAsia="Times New Roman" w:hAnsi="Arial" w:cs="Times New Roman"/>
          <w:b/>
          <w:kern w:val="0"/>
          <w:lang w:eastAsia="en-GB"/>
          <w14:ligatures w14:val="none"/>
        </w:rPr>
        <w:tab/>
        <w:t xml:space="preserve">Recommendations </w:t>
      </w:r>
    </w:p>
    <w:p w14:paraId="25B7A8DC" w14:textId="77777777" w:rsidR="00A20F86" w:rsidRPr="00A20F86" w:rsidRDefault="00A20F86" w:rsidP="00A20F86">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11D5CF33" w14:textId="77777777" w:rsidR="00A20F86" w:rsidRPr="00A20F86" w:rsidRDefault="00A20F86" w:rsidP="00A20F86">
      <w:pPr>
        <w:overflowPunct w:val="0"/>
        <w:autoSpaceDE w:val="0"/>
        <w:autoSpaceDN w:val="0"/>
        <w:adjustRightInd w:val="0"/>
        <w:spacing w:after="0" w:line="240" w:lineRule="auto"/>
        <w:ind w:left="567" w:hanging="567"/>
        <w:textAlignment w:val="baseline"/>
        <w:rPr>
          <w:rFonts w:ascii="Arial" w:eastAsia="Times New Roman" w:hAnsi="Arial" w:cs="Times New Roman"/>
          <w:kern w:val="0"/>
          <w:szCs w:val="20"/>
          <w:lang w:eastAsia="en-GB"/>
          <w14:ligatures w14:val="none"/>
        </w:rPr>
      </w:pPr>
      <w:r w:rsidRPr="00A20F86">
        <w:rPr>
          <w:rFonts w:ascii="Arial" w:eastAsia="Times New Roman" w:hAnsi="Arial" w:cs="Times New Roman"/>
          <w:kern w:val="0"/>
          <w:szCs w:val="20"/>
          <w:lang w:eastAsia="en-GB"/>
          <w14:ligatures w14:val="none"/>
        </w:rPr>
        <w:t>2.1</w:t>
      </w:r>
      <w:r w:rsidRPr="00A20F86">
        <w:rPr>
          <w:rFonts w:ascii="Arial" w:eastAsia="Times New Roman" w:hAnsi="Arial" w:cs="Times New Roman"/>
          <w:kern w:val="0"/>
          <w:szCs w:val="20"/>
          <w:lang w:eastAsia="en-GB"/>
          <w14:ligatures w14:val="none"/>
        </w:rPr>
        <w:tab/>
        <w:t>To note the pressures in the High Needs Block for 2027/28 to 2030/31.</w:t>
      </w:r>
    </w:p>
    <w:p w14:paraId="527A91BF" w14:textId="77777777" w:rsidR="00A20F86" w:rsidRPr="00A20F86" w:rsidRDefault="00A20F86" w:rsidP="00A20F86">
      <w:pPr>
        <w:overflowPunct w:val="0"/>
        <w:autoSpaceDE w:val="0"/>
        <w:autoSpaceDN w:val="0"/>
        <w:adjustRightInd w:val="0"/>
        <w:spacing w:after="0" w:line="240" w:lineRule="auto"/>
        <w:ind w:left="567" w:hanging="567"/>
        <w:textAlignment w:val="baseline"/>
        <w:rPr>
          <w:rFonts w:ascii="Arial" w:eastAsia="Times New Roman" w:hAnsi="Arial" w:cs="Times New Roman"/>
          <w:kern w:val="0"/>
          <w:szCs w:val="20"/>
          <w:lang w:eastAsia="en-GB"/>
          <w14:ligatures w14:val="none"/>
        </w:rPr>
      </w:pPr>
    </w:p>
    <w:p w14:paraId="43362B65" w14:textId="77777777" w:rsidR="00A20F86" w:rsidRPr="00A20F86" w:rsidRDefault="00A20F86" w:rsidP="00A20F86">
      <w:pPr>
        <w:overflowPunct w:val="0"/>
        <w:autoSpaceDE w:val="0"/>
        <w:autoSpaceDN w:val="0"/>
        <w:adjustRightInd w:val="0"/>
        <w:spacing w:after="0" w:line="240" w:lineRule="auto"/>
        <w:ind w:left="567" w:hanging="567"/>
        <w:textAlignment w:val="baseline"/>
        <w:rPr>
          <w:rFonts w:ascii="Arial" w:eastAsia="Times New Roman" w:hAnsi="Arial" w:cs="Times New Roman"/>
          <w:kern w:val="0"/>
          <w:szCs w:val="20"/>
          <w:lang w:eastAsia="en-GB"/>
          <w14:ligatures w14:val="none"/>
        </w:rPr>
      </w:pPr>
      <w:r w:rsidRPr="00A20F86">
        <w:rPr>
          <w:rFonts w:ascii="Arial" w:eastAsia="Times New Roman" w:hAnsi="Arial" w:cs="Times New Roman"/>
          <w:kern w:val="0"/>
          <w:szCs w:val="20"/>
          <w:lang w:eastAsia="en-GB"/>
          <w14:ligatures w14:val="none"/>
        </w:rPr>
        <w:t>2.2</w:t>
      </w:r>
      <w:r w:rsidRPr="00A20F86">
        <w:rPr>
          <w:rFonts w:ascii="Arial" w:eastAsia="Times New Roman" w:hAnsi="Arial" w:cs="Times New Roman"/>
          <w:kern w:val="0"/>
          <w:szCs w:val="20"/>
          <w:lang w:eastAsia="en-GB"/>
          <w14:ligatures w14:val="none"/>
        </w:rPr>
        <w:tab/>
        <w:t>To agree the recommendation of the Finance Review Group (FRG) to continue the May 2018 Tendring PPP buyout agreement to support the disapplication request to continue to use an exceptional premises factor at 5.7</w:t>
      </w:r>
    </w:p>
    <w:p w14:paraId="102BA7D2" w14:textId="77777777" w:rsidR="00A20F86" w:rsidRPr="00A20F86" w:rsidRDefault="00A20F86" w:rsidP="00A20F86">
      <w:pPr>
        <w:overflowPunct w:val="0"/>
        <w:autoSpaceDE w:val="0"/>
        <w:autoSpaceDN w:val="0"/>
        <w:adjustRightInd w:val="0"/>
        <w:spacing w:after="0" w:line="240" w:lineRule="auto"/>
        <w:ind w:left="567" w:hanging="567"/>
        <w:textAlignment w:val="baseline"/>
        <w:rPr>
          <w:rFonts w:ascii="Arial" w:eastAsia="Times New Roman" w:hAnsi="Arial" w:cs="Times New Roman"/>
          <w:kern w:val="0"/>
          <w:szCs w:val="20"/>
          <w:lang w:eastAsia="en-GB"/>
          <w14:ligatures w14:val="none"/>
        </w:rPr>
      </w:pPr>
    </w:p>
    <w:p w14:paraId="75D1ECDE" w14:textId="77777777" w:rsidR="00A20F86" w:rsidRPr="00A20F86" w:rsidRDefault="00A20F86" w:rsidP="00A20F86">
      <w:pPr>
        <w:overflowPunct w:val="0"/>
        <w:autoSpaceDE w:val="0"/>
        <w:autoSpaceDN w:val="0"/>
        <w:adjustRightInd w:val="0"/>
        <w:spacing w:after="0" w:line="240" w:lineRule="auto"/>
        <w:ind w:left="567" w:hanging="567"/>
        <w:textAlignment w:val="baseline"/>
        <w:rPr>
          <w:rFonts w:ascii="Arial" w:eastAsia="Times New Roman" w:hAnsi="Arial" w:cs="Times New Roman"/>
          <w:kern w:val="0"/>
          <w:szCs w:val="20"/>
          <w:lang w:eastAsia="en-GB"/>
          <w14:ligatures w14:val="none"/>
        </w:rPr>
      </w:pPr>
      <w:r w:rsidRPr="00A20F86">
        <w:rPr>
          <w:rFonts w:ascii="Arial" w:eastAsia="Times New Roman" w:hAnsi="Arial" w:cs="Times New Roman"/>
          <w:kern w:val="0"/>
          <w:szCs w:val="20"/>
          <w:lang w:eastAsia="en-GB"/>
          <w14:ligatures w14:val="none"/>
        </w:rPr>
        <w:t>2.3</w:t>
      </w:r>
      <w:r w:rsidRPr="00A20F86">
        <w:rPr>
          <w:rFonts w:ascii="Arial" w:eastAsia="Times New Roman" w:hAnsi="Arial" w:cs="Times New Roman"/>
          <w:kern w:val="0"/>
          <w:szCs w:val="20"/>
          <w:lang w:eastAsia="en-GB"/>
          <w14:ligatures w14:val="none"/>
        </w:rPr>
        <w:tab/>
        <w:t>To agree the recommendation of the High Needs Review Group (HNRG) / FRG to support the proposal to transfer 1% from the Schools Block to the High Needs Block at 7.4</w:t>
      </w:r>
      <w:r w:rsidRPr="00A20F86">
        <w:rPr>
          <w:rFonts w:ascii="Arial" w:eastAsia="Times New Roman" w:hAnsi="Arial" w:cs="Times New Roman"/>
          <w:kern w:val="0"/>
          <w:szCs w:val="20"/>
          <w:lang w:eastAsia="en-GB"/>
          <w14:ligatures w14:val="none"/>
        </w:rPr>
        <w:br/>
      </w:r>
    </w:p>
    <w:p w14:paraId="1178E8BA" w14:textId="77777777" w:rsidR="00A20F86" w:rsidRPr="00A20F86" w:rsidRDefault="00A20F86" w:rsidP="00A20F86">
      <w:pPr>
        <w:overflowPunct w:val="0"/>
        <w:autoSpaceDE w:val="0"/>
        <w:autoSpaceDN w:val="0"/>
        <w:adjustRightInd w:val="0"/>
        <w:spacing w:after="0" w:line="240" w:lineRule="auto"/>
        <w:ind w:left="567" w:hanging="567"/>
        <w:textAlignment w:val="baseline"/>
        <w:rPr>
          <w:rFonts w:ascii="Arial" w:eastAsia="Times New Roman" w:hAnsi="Arial" w:cs="Times New Roman"/>
          <w:kern w:val="0"/>
          <w:szCs w:val="20"/>
          <w:lang w:eastAsia="en-GB"/>
          <w14:ligatures w14:val="none"/>
        </w:rPr>
      </w:pPr>
      <w:r w:rsidRPr="00A20F86">
        <w:rPr>
          <w:rFonts w:ascii="Arial" w:eastAsia="Times New Roman" w:hAnsi="Arial" w:cs="Times New Roman"/>
          <w:kern w:val="0"/>
          <w:szCs w:val="20"/>
          <w:lang w:eastAsia="en-GB"/>
          <w14:ligatures w14:val="none"/>
        </w:rPr>
        <w:t>2.4</w:t>
      </w:r>
      <w:r w:rsidRPr="00A20F86">
        <w:rPr>
          <w:rFonts w:ascii="Arial" w:eastAsia="Times New Roman" w:hAnsi="Arial" w:cs="Times New Roman"/>
          <w:kern w:val="0"/>
          <w:szCs w:val="20"/>
          <w:lang w:eastAsia="en-GB"/>
          <w14:ligatures w14:val="none"/>
        </w:rPr>
        <w:tab/>
        <w:t>To approve the consultation paper at Annex A</w:t>
      </w:r>
    </w:p>
    <w:p w14:paraId="6684E695" w14:textId="77777777" w:rsidR="00A20F86" w:rsidRPr="00A20F86" w:rsidRDefault="00A20F86" w:rsidP="00A20F86">
      <w:pPr>
        <w:overflowPunct w:val="0"/>
        <w:autoSpaceDE w:val="0"/>
        <w:autoSpaceDN w:val="0"/>
        <w:adjustRightInd w:val="0"/>
        <w:spacing w:after="0" w:line="240" w:lineRule="auto"/>
        <w:ind w:left="567" w:hanging="567"/>
        <w:textAlignment w:val="baseline"/>
        <w:rPr>
          <w:rFonts w:ascii="Arial" w:eastAsia="Times New Roman" w:hAnsi="Arial" w:cs="Times New Roman"/>
          <w:kern w:val="0"/>
          <w:szCs w:val="20"/>
          <w:lang w:eastAsia="en-GB"/>
          <w14:ligatures w14:val="none"/>
        </w:rPr>
      </w:pPr>
    </w:p>
    <w:p w14:paraId="138ED91E" w14:textId="77777777" w:rsidR="00A20F86" w:rsidRPr="00A20F86" w:rsidRDefault="00A20F86" w:rsidP="00A20F86">
      <w:pPr>
        <w:overflowPunct w:val="0"/>
        <w:autoSpaceDE w:val="0"/>
        <w:autoSpaceDN w:val="0"/>
        <w:adjustRightInd w:val="0"/>
        <w:spacing w:after="0" w:line="240" w:lineRule="auto"/>
        <w:ind w:left="567" w:hanging="567"/>
        <w:textAlignment w:val="baseline"/>
        <w:rPr>
          <w:rFonts w:ascii="Arial" w:eastAsia="Times New Roman" w:hAnsi="Arial" w:cs="Times New Roman"/>
          <w:kern w:val="0"/>
          <w:szCs w:val="20"/>
          <w:lang w:eastAsia="en-GB"/>
          <w14:ligatures w14:val="none"/>
        </w:rPr>
      </w:pPr>
      <w:r w:rsidRPr="00A20F86">
        <w:rPr>
          <w:rFonts w:ascii="Arial" w:eastAsia="Times New Roman" w:hAnsi="Arial" w:cs="Times New Roman"/>
          <w:kern w:val="0"/>
          <w:szCs w:val="20"/>
          <w:lang w:eastAsia="en-GB"/>
          <w14:ligatures w14:val="none"/>
        </w:rPr>
        <w:t>2.5</w:t>
      </w:r>
      <w:r w:rsidRPr="00A20F86">
        <w:rPr>
          <w:rFonts w:ascii="Arial" w:eastAsia="Times New Roman" w:hAnsi="Arial" w:cs="Times New Roman"/>
          <w:kern w:val="0"/>
          <w:szCs w:val="20"/>
          <w:lang w:eastAsia="en-GB"/>
          <w14:ligatures w14:val="none"/>
        </w:rPr>
        <w:tab/>
        <w:t>To agree the recommendation of FRG / HNRG for FRG to undertake a further review of School Balances at 8.4.</w:t>
      </w:r>
    </w:p>
    <w:p w14:paraId="6A2C1875" w14:textId="77777777" w:rsidR="00A20F86" w:rsidRPr="00A20F86" w:rsidRDefault="00A20F86" w:rsidP="00A20F86">
      <w:pPr>
        <w:overflowPunct w:val="0"/>
        <w:autoSpaceDE w:val="0"/>
        <w:autoSpaceDN w:val="0"/>
        <w:adjustRightInd w:val="0"/>
        <w:spacing w:after="0" w:line="240" w:lineRule="auto"/>
        <w:textAlignment w:val="baseline"/>
        <w:rPr>
          <w:rFonts w:ascii="Arial" w:eastAsia="Times New Roman" w:hAnsi="Arial" w:cs="Times New Roman"/>
          <w:kern w:val="0"/>
          <w:szCs w:val="20"/>
          <w:lang w:eastAsia="en-GB"/>
          <w14:ligatures w14:val="none"/>
        </w:rPr>
      </w:pPr>
    </w:p>
    <w:p w14:paraId="38B32210" w14:textId="77777777" w:rsidR="00A20F86" w:rsidRPr="00A20F86" w:rsidRDefault="00A20F86" w:rsidP="00A20F86">
      <w:pPr>
        <w:keepNext/>
        <w:overflowPunct w:val="0"/>
        <w:autoSpaceDE w:val="0"/>
        <w:autoSpaceDN w:val="0"/>
        <w:adjustRightInd w:val="0"/>
        <w:spacing w:after="0" w:line="240" w:lineRule="auto"/>
        <w:ind w:left="540" w:hanging="540"/>
        <w:textAlignment w:val="baseline"/>
        <w:outlineLvl w:val="5"/>
        <w:rPr>
          <w:rFonts w:ascii="Arial" w:eastAsia="Times New Roman" w:hAnsi="Arial" w:cs="Times New Roman"/>
          <w:b/>
          <w:kern w:val="0"/>
          <w:szCs w:val="20"/>
          <w:lang w:eastAsia="en-GB"/>
          <w14:ligatures w14:val="none"/>
        </w:rPr>
      </w:pPr>
    </w:p>
    <w:p w14:paraId="4B2E8652" w14:textId="77777777" w:rsidR="00A20F86" w:rsidRPr="00A20F86" w:rsidRDefault="00A20F86" w:rsidP="00A20F86">
      <w:pPr>
        <w:keepNext/>
        <w:overflowPunct w:val="0"/>
        <w:autoSpaceDE w:val="0"/>
        <w:autoSpaceDN w:val="0"/>
        <w:adjustRightInd w:val="0"/>
        <w:spacing w:after="0" w:line="240" w:lineRule="auto"/>
        <w:ind w:left="540" w:hanging="540"/>
        <w:textAlignment w:val="baseline"/>
        <w:outlineLvl w:val="5"/>
        <w:rPr>
          <w:rFonts w:ascii="Arial" w:eastAsia="Times New Roman" w:hAnsi="Arial" w:cs="Times New Roman"/>
          <w:b/>
          <w:kern w:val="0"/>
          <w:szCs w:val="20"/>
          <w:lang w:eastAsia="en-GB"/>
          <w14:ligatures w14:val="none"/>
        </w:rPr>
      </w:pPr>
    </w:p>
    <w:p w14:paraId="52E3CEB4" w14:textId="77777777" w:rsidR="00A20F86" w:rsidRPr="00A20F86" w:rsidRDefault="00A20F86" w:rsidP="00A20F86">
      <w:pPr>
        <w:keepNext/>
        <w:overflowPunct w:val="0"/>
        <w:autoSpaceDE w:val="0"/>
        <w:autoSpaceDN w:val="0"/>
        <w:adjustRightInd w:val="0"/>
        <w:spacing w:after="0" w:line="240" w:lineRule="auto"/>
        <w:ind w:left="540" w:hanging="540"/>
        <w:textAlignment w:val="baseline"/>
        <w:outlineLvl w:val="5"/>
        <w:rPr>
          <w:rFonts w:ascii="Arial" w:eastAsia="Times New Roman" w:hAnsi="Arial" w:cs="Times New Roman"/>
          <w:b/>
          <w:kern w:val="0"/>
          <w:szCs w:val="20"/>
          <w:lang w:eastAsia="en-GB"/>
          <w14:ligatures w14:val="none"/>
        </w:rPr>
      </w:pPr>
    </w:p>
    <w:p w14:paraId="087DC435"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5BDCDF8C"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4378E3D6" w14:textId="77777777" w:rsidR="00A20F86" w:rsidRPr="00A20F86" w:rsidRDefault="00A20F86" w:rsidP="00A20F86">
      <w:pPr>
        <w:keepNext/>
        <w:overflowPunct w:val="0"/>
        <w:autoSpaceDE w:val="0"/>
        <w:autoSpaceDN w:val="0"/>
        <w:adjustRightInd w:val="0"/>
        <w:spacing w:after="0" w:line="240" w:lineRule="auto"/>
        <w:ind w:left="540" w:hanging="540"/>
        <w:textAlignment w:val="baseline"/>
        <w:outlineLvl w:val="5"/>
        <w:rPr>
          <w:rFonts w:ascii="Arial" w:eastAsia="Times New Roman" w:hAnsi="Arial" w:cs="Times New Roman"/>
          <w:b/>
          <w:kern w:val="0"/>
          <w:szCs w:val="20"/>
          <w:lang w:eastAsia="en-GB"/>
          <w14:ligatures w14:val="none"/>
        </w:rPr>
      </w:pPr>
      <w:r w:rsidRPr="00A20F86">
        <w:rPr>
          <w:rFonts w:ascii="Arial" w:eastAsia="Times New Roman" w:hAnsi="Arial" w:cs="Times New Roman"/>
          <w:b/>
          <w:kern w:val="0"/>
          <w:szCs w:val="20"/>
          <w:lang w:eastAsia="en-GB"/>
          <w14:ligatures w14:val="none"/>
        </w:rPr>
        <w:lastRenderedPageBreak/>
        <w:t>3.</w:t>
      </w:r>
      <w:r w:rsidRPr="00A20F86">
        <w:rPr>
          <w:rFonts w:ascii="Arial" w:eastAsia="Times New Roman" w:hAnsi="Arial" w:cs="Times New Roman"/>
          <w:kern w:val="0"/>
          <w:szCs w:val="20"/>
          <w:lang w:eastAsia="en-GB"/>
          <w14:ligatures w14:val="none"/>
        </w:rPr>
        <w:t xml:space="preserve"> </w:t>
      </w:r>
      <w:r w:rsidRPr="00A20F86">
        <w:rPr>
          <w:rFonts w:ascii="Arial" w:eastAsia="Times New Roman" w:hAnsi="Arial" w:cs="Times New Roman"/>
          <w:kern w:val="0"/>
          <w:szCs w:val="20"/>
          <w:lang w:eastAsia="en-GB"/>
          <w14:ligatures w14:val="none"/>
        </w:rPr>
        <w:tab/>
      </w:r>
      <w:r w:rsidRPr="00A20F86">
        <w:rPr>
          <w:rFonts w:ascii="Arial" w:eastAsia="Times New Roman" w:hAnsi="Arial" w:cs="Times New Roman"/>
          <w:b/>
          <w:kern w:val="0"/>
          <w:szCs w:val="20"/>
          <w:lang w:eastAsia="en-GB"/>
          <w14:ligatures w14:val="none"/>
        </w:rPr>
        <w:t>Relevant Schools Forum Power and Responsibility</w:t>
      </w:r>
    </w:p>
    <w:p w14:paraId="0FC96AC0" w14:textId="77777777" w:rsidR="00A20F86" w:rsidRPr="00A20F86" w:rsidRDefault="00A20F86" w:rsidP="00A20F86">
      <w:pPr>
        <w:keepNext/>
        <w:overflowPunct w:val="0"/>
        <w:autoSpaceDE w:val="0"/>
        <w:autoSpaceDN w:val="0"/>
        <w:adjustRightInd w:val="0"/>
        <w:spacing w:after="0" w:line="240" w:lineRule="auto"/>
        <w:ind w:left="540" w:hanging="540"/>
        <w:textAlignment w:val="baseline"/>
        <w:outlineLvl w:val="5"/>
        <w:rPr>
          <w:rFonts w:ascii="Arial" w:eastAsia="Times New Roman" w:hAnsi="Arial" w:cs="Times New Roman"/>
          <w:b/>
          <w:kern w:val="0"/>
          <w:szCs w:val="20"/>
          <w:lang w:eastAsia="en-GB"/>
          <w14:ligatures w14:val="none"/>
        </w:rPr>
      </w:pPr>
    </w:p>
    <w:p w14:paraId="3D1111B4"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3.1</w:t>
      </w:r>
      <w:r w:rsidRPr="00A20F86">
        <w:rPr>
          <w:rFonts w:ascii="Arial" w:eastAsia="Times New Roman" w:hAnsi="Arial" w:cs="Times New Roman"/>
          <w:kern w:val="0"/>
          <w:lang w:eastAsia="en-GB"/>
          <w14:ligatures w14:val="none"/>
        </w:rPr>
        <w:tab/>
      </w:r>
      <w:r w:rsidRPr="00A20F86">
        <w:rPr>
          <w:rFonts w:ascii="Arial" w:eastAsia="Times New Roman" w:hAnsi="Arial" w:cs="Times New Roman"/>
          <w:b/>
          <w:kern w:val="0"/>
          <w:lang w:eastAsia="en-GB"/>
          <w14:ligatures w14:val="none"/>
        </w:rPr>
        <w:t>Table 1</w:t>
      </w:r>
      <w:r w:rsidRPr="00A20F86">
        <w:rPr>
          <w:rFonts w:ascii="Arial" w:eastAsia="Times New Roman" w:hAnsi="Arial" w:cs="Times New Roman"/>
          <w:kern w:val="0"/>
          <w:lang w:eastAsia="en-GB"/>
          <w14:ligatures w14:val="none"/>
        </w:rPr>
        <w:t xml:space="preserve"> is an extract from the Schools Forum Operational and Good Practice Guide (September 2018), which sets out the role of the Authority, Schools Forum and the Secretary of State in setting the Schools Budget.</w:t>
      </w:r>
    </w:p>
    <w:p w14:paraId="52E10AF2"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tbl>
      <w:tblPr>
        <w:tblStyle w:val="ListTable3-Accent21"/>
        <w:tblW w:w="8655" w:type="dxa"/>
        <w:tblLook w:val="0020" w:firstRow="1" w:lastRow="0" w:firstColumn="0" w:lastColumn="0" w:noHBand="0" w:noVBand="0"/>
      </w:tblPr>
      <w:tblGrid>
        <w:gridCol w:w="3794"/>
        <w:gridCol w:w="1547"/>
        <w:gridCol w:w="1857"/>
        <w:gridCol w:w="1457"/>
      </w:tblGrid>
      <w:tr w:rsidR="00A20F86" w:rsidRPr="00A20F86" w14:paraId="17054F74" w14:textId="77777777" w:rsidTr="00697A4E">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794" w:type="dxa"/>
            <w:tcBorders>
              <w:right w:val="single" w:sz="4" w:space="0" w:color="E40037"/>
            </w:tcBorders>
            <w:shd w:val="clear" w:color="auto" w:fill="E40037"/>
          </w:tcPr>
          <w:p w14:paraId="1E6DB69D" w14:textId="77777777" w:rsidR="00A20F86" w:rsidRPr="00A20F86" w:rsidRDefault="00A20F86" w:rsidP="00A20F86">
            <w:pPr>
              <w:spacing w:line="259" w:lineRule="auto"/>
              <w:rPr>
                <w:rFonts w:ascii="Arial" w:eastAsia="Calibri" w:hAnsi="Arial" w:cs="Arial"/>
                <w:szCs w:val="22"/>
              </w:rPr>
            </w:pPr>
          </w:p>
          <w:p w14:paraId="7203708F"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Function</w:t>
            </w:r>
          </w:p>
        </w:tc>
        <w:tc>
          <w:tcPr>
            <w:tcW w:w="1547" w:type="dxa"/>
            <w:tcBorders>
              <w:left w:val="single" w:sz="4" w:space="0" w:color="E40037"/>
              <w:right w:val="single" w:sz="4" w:space="0" w:color="E40037"/>
            </w:tcBorders>
            <w:shd w:val="clear" w:color="auto" w:fill="E40037"/>
          </w:tcPr>
          <w:p w14:paraId="090221C0" w14:textId="77777777" w:rsidR="00A20F86" w:rsidRPr="00A20F86" w:rsidRDefault="00A20F86" w:rsidP="00A20F86">
            <w:pPr>
              <w:spacing w:line="259"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Local authority</w:t>
            </w:r>
          </w:p>
        </w:tc>
        <w:tc>
          <w:tcPr>
            <w:cnfStyle w:val="000010000000" w:firstRow="0" w:lastRow="0" w:firstColumn="0" w:lastColumn="0" w:oddVBand="1" w:evenVBand="0" w:oddHBand="0" w:evenHBand="0" w:firstRowFirstColumn="0" w:firstRowLastColumn="0" w:lastRowFirstColumn="0" w:lastRowLastColumn="0"/>
            <w:tcW w:w="1857" w:type="dxa"/>
            <w:tcBorders>
              <w:left w:val="single" w:sz="4" w:space="0" w:color="E40037"/>
              <w:right w:val="single" w:sz="4" w:space="0" w:color="E40037"/>
            </w:tcBorders>
            <w:shd w:val="clear" w:color="auto" w:fill="E40037"/>
          </w:tcPr>
          <w:p w14:paraId="31D589B5"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Schools forum</w:t>
            </w:r>
          </w:p>
        </w:tc>
        <w:tc>
          <w:tcPr>
            <w:tcW w:w="1457" w:type="dxa"/>
            <w:tcBorders>
              <w:left w:val="single" w:sz="4" w:space="0" w:color="E40037"/>
            </w:tcBorders>
            <w:shd w:val="clear" w:color="auto" w:fill="E40037"/>
          </w:tcPr>
          <w:p w14:paraId="6810BF1E" w14:textId="77777777" w:rsidR="00A20F86" w:rsidRPr="00A20F86" w:rsidRDefault="00A20F86" w:rsidP="00A20F86">
            <w:pPr>
              <w:spacing w:line="259"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p>
          <w:p w14:paraId="6580BDFC" w14:textId="77777777" w:rsidR="00A20F86" w:rsidRPr="00A20F86" w:rsidRDefault="00A20F86" w:rsidP="00A20F86">
            <w:pPr>
              <w:spacing w:line="259"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DfE role</w:t>
            </w:r>
          </w:p>
        </w:tc>
      </w:tr>
      <w:tr w:rsidR="00A20F86" w:rsidRPr="00A20F86" w14:paraId="65031C17" w14:textId="77777777" w:rsidTr="00697A4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794" w:type="dxa"/>
            <w:tcBorders>
              <w:left w:val="single" w:sz="4" w:space="0" w:color="E40037"/>
              <w:bottom w:val="single" w:sz="4" w:space="0" w:color="E40037"/>
              <w:right w:val="single" w:sz="4" w:space="0" w:color="E40037"/>
            </w:tcBorders>
          </w:tcPr>
          <w:p w14:paraId="41C5E5FD"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Formula change (including redistributions)</w:t>
            </w:r>
          </w:p>
          <w:p w14:paraId="6014F45F" w14:textId="77777777" w:rsidR="00A20F86" w:rsidRPr="00A20F86" w:rsidRDefault="00A20F86" w:rsidP="00A20F86">
            <w:pPr>
              <w:spacing w:line="259" w:lineRule="auto"/>
              <w:rPr>
                <w:rFonts w:ascii="Arial" w:eastAsia="Calibri" w:hAnsi="Arial" w:cs="Arial"/>
                <w:szCs w:val="22"/>
              </w:rPr>
            </w:pPr>
          </w:p>
          <w:p w14:paraId="1EEFDC12" w14:textId="77777777" w:rsidR="00A20F86" w:rsidRPr="00A20F86" w:rsidRDefault="00A20F86" w:rsidP="00A20F86">
            <w:pPr>
              <w:spacing w:line="259" w:lineRule="auto"/>
              <w:rPr>
                <w:rFonts w:ascii="Arial" w:eastAsia="Calibri" w:hAnsi="Arial" w:cs="Arial"/>
                <w:szCs w:val="22"/>
              </w:rPr>
            </w:pPr>
          </w:p>
        </w:tc>
        <w:tc>
          <w:tcPr>
            <w:tcW w:w="1547" w:type="dxa"/>
            <w:tcBorders>
              <w:left w:val="single" w:sz="4" w:space="0" w:color="E40037"/>
              <w:bottom w:val="single" w:sz="4" w:space="0" w:color="E40037"/>
              <w:right w:val="single" w:sz="4" w:space="0" w:color="E40037"/>
            </w:tcBorders>
          </w:tcPr>
          <w:p w14:paraId="72DA662B" w14:textId="77777777" w:rsidR="00A20F86" w:rsidRPr="00A20F86" w:rsidRDefault="00A20F86" w:rsidP="00A20F86">
            <w:pPr>
              <w:spacing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Proposes and decides</w:t>
            </w:r>
          </w:p>
        </w:tc>
        <w:tc>
          <w:tcPr>
            <w:cnfStyle w:val="000010000000" w:firstRow="0" w:lastRow="0" w:firstColumn="0" w:lastColumn="0" w:oddVBand="1" w:evenVBand="0" w:oddHBand="0" w:evenHBand="0" w:firstRowFirstColumn="0" w:firstRowLastColumn="0" w:lastRowFirstColumn="0" w:lastRowLastColumn="0"/>
            <w:tcW w:w="1857" w:type="dxa"/>
            <w:tcBorders>
              <w:left w:val="single" w:sz="4" w:space="0" w:color="E40037"/>
              <w:bottom w:val="single" w:sz="4" w:space="0" w:color="E40037"/>
              <w:right w:val="single" w:sz="4" w:space="0" w:color="E40037"/>
            </w:tcBorders>
          </w:tcPr>
          <w:p w14:paraId="3F8E7256"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Must be consulted</w:t>
            </w:r>
          </w:p>
        </w:tc>
        <w:tc>
          <w:tcPr>
            <w:tcW w:w="1457" w:type="dxa"/>
            <w:tcBorders>
              <w:left w:val="single" w:sz="4" w:space="0" w:color="E40037"/>
              <w:bottom w:val="single" w:sz="4" w:space="0" w:color="E40037"/>
              <w:right w:val="single" w:sz="4" w:space="0" w:color="E40037"/>
            </w:tcBorders>
          </w:tcPr>
          <w:p w14:paraId="56C52AAD" w14:textId="77777777" w:rsidR="00A20F86" w:rsidRPr="00A20F86" w:rsidRDefault="00A20F86" w:rsidP="00A20F86">
            <w:pPr>
              <w:spacing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Checks for compliance with regulations</w:t>
            </w:r>
          </w:p>
        </w:tc>
      </w:tr>
      <w:tr w:rsidR="00A20F86" w:rsidRPr="00A20F86" w14:paraId="72A1F0DB" w14:textId="77777777" w:rsidTr="00697A4E">
        <w:tc>
          <w:tcPr>
            <w:cnfStyle w:val="000010000000" w:firstRow="0" w:lastRow="0" w:firstColumn="0" w:lastColumn="0" w:oddVBand="1" w:evenVBand="0" w:oddHBand="0" w:evenHBand="0" w:firstRowFirstColumn="0" w:firstRowLastColumn="0" w:lastRowFirstColumn="0" w:lastRowLastColumn="0"/>
            <w:tcW w:w="3794" w:type="dxa"/>
            <w:tcBorders>
              <w:top w:val="single" w:sz="4" w:space="0" w:color="E40037"/>
              <w:left w:val="single" w:sz="4" w:space="0" w:color="E40037"/>
              <w:bottom w:val="single" w:sz="4" w:space="0" w:color="E40037"/>
              <w:right w:val="single" w:sz="4" w:space="0" w:color="E40037"/>
            </w:tcBorders>
          </w:tcPr>
          <w:p w14:paraId="4359981D"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Movement of up to 0.5% from the schools block to other blocks</w:t>
            </w:r>
          </w:p>
        </w:tc>
        <w:tc>
          <w:tcPr>
            <w:tcW w:w="1547" w:type="dxa"/>
            <w:tcBorders>
              <w:top w:val="single" w:sz="4" w:space="0" w:color="E40037"/>
              <w:left w:val="single" w:sz="4" w:space="0" w:color="E40037"/>
              <w:bottom w:val="single" w:sz="4" w:space="0" w:color="E40037"/>
              <w:right w:val="single" w:sz="4" w:space="0" w:color="E40037"/>
            </w:tcBorders>
          </w:tcPr>
          <w:p w14:paraId="5F2D70BE" w14:textId="77777777" w:rsidR="00A20F86" w:rsidRPr="00A20F86" w:rsidRDefault="00A20F86" w:rsidP="00A20F86">
            <w:pPr>
              <w:spacing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Proposes</w:t>
            </w:r>
          </w:p>
        </w:tc>
        <w:tc>
          <w:tcPr>
            <w:cnfStyle w:val="000010000000" w:firstRow="0" w:lastRow="0" w:firstColumn="0" w:lastColumn="0" w:oddVBand="1" w:evenVBand="0" w:oddHBand="0" w:evenHBand="0" w:firstRowFirstColumn="0" w:firstRowLastColumn="0" w:lastRowFirstColumn="0" w:lastRowLastColumn="0"/>
            <w:tcW w:w="1857" w:type="dxa"/>
            <w:tcBorders>
              <w:top w:val="single" w:sz="4" w:space="0" w:color="E40037"/>
              <w:left w:val="single" w:sz="4" w:space="0" w:color="E40037"/>
              <w:bottom w:val="single" w:sz="4" w:space="0" w:color="E40037"/>
              <w:right w:val="single" w:sz="4" w:space="0" w:color="E40037"/>
            </w:tcBorders>
          </w:tcPr>
          <w:p w14:paraId="6D4B0B8D"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Decides</w:t>
            </w:r>
          </w:p>
        </w:tc>
        <w:tc>
          <w:tcPr>
            <w:tcW w:w="1457" w:type="dxa"/>
            <w:tcBorders>
              <w:top w:val="single" w:sz="4" w:space="0" w:color="E40037"/>
              <w:left w:val="single" w:sz="4" w:space="0" w:color="E40037"/>
              <w:bottom w:val="single" w:sz="4" w:space="0" w:color="E40037"/>
              <w:right w:val="single" w:sz="4" w:space="0" w:color="E40037"/>
            </w:tcBorders>
          </w:tcPr>
          <w:p w14:paraId="73071AF4" w14:textId="77777777" w:rsidR="00A20F86" w:rsidRPr="00A20F86" w:rsidRDefault="00A20F86" w:rsidP="00A20F86">
            <w:pPr>
              <w:spacing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Adjudicates where schools forum does not agree local authority proposal</w:t>
            </w:r>
          </w:p>
        </w:tc>
      </w:tr>
      <w:tr w:rsidR="00A20F86" w:rsidRPr="00A20F86" w14:paraId="684DA512" w14:textId="77777777" w:rsidTr="00697A4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794" w:type="dxa"/>
            <w:tcBorders>
              <w:top w:val="single" w:sz="4" w:space="0" w:color="E40037"/>
              <w:left w:val="single" w:sz="4" w:space="0" w:color="E40037"/>
              <w:bottom w:val="single" w:sz="4" w:space="0" w:color="E40037"/>
              <w:right w:val="single" w:sz="4" w:space="0" w:color="E40037"/>
            </w:tcBorders>
          </w:tcPr>
          <w:p w14:paraId="49A20941"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Movement of above 0.5% from the schools block to other blocks.</w:t>
            </w:r>
          </w:p>
        </w:tc>
        <w:tc>
          <w:tcPr>
            <w:tcW w:w="1547" w:type="dxa"/>
            <w:tcBorders>
              <w:top w:val="single" w:sz="4" w:space="0" w:color="E40037"/>
              <w:left w:val="single" w:sz="4" w:space="0" w:color="E40037"/>
              <w:bottom w:val="single" w:sz="4" w:space="0" w:color="E40037"/>
              <w:right w:val="single" w:sz="4" w:space="0" w:color="E40037"/>
            </w:tcBorders>
          </w:tcPr>
          <w:p w14:paraId="6849DAA7" w14:textId="77777777" w:rsidR="00A20F86" w:rsidRPr="00A20F86" w:rsidRDefault="00A20F86" w:rsidP="00A20F86">
            <w:pPr>
              <w:spacing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Proposes</w:t>
            </w:r>
          </w:p>
        </w:tc>
        <w:tc>
          <w:tcPr>
            <w:cnfStyle w:val="000010000000" w:firstRow="0" w:lastRow="0" w:firstColumn="0" w:lastColumn="0" w:oddVBand="1" w:evenVBand="0" w:oddHBand="0" w:evenHBand="0" w:firstRowFirstColumn="0" w:firstRowLastColumn="0" w:lastRowFirstColumn="0" w:lastRowLastColumn="0"/>
            <w:tcW w:w="1857" w:type="dxa"/>
            <w:tcBorders>
              <w:top w:val="single" w:sz="4" w:space="0" w:color="E40037"/>
              <w:left w:val="single" w:sz="4" w:space="0" w:color="E40037"/>
              <w:bottom w:val="single" w:sz="4" w:space="0" w:color="E40037"/>
              <w:right w:val="single" w:sz="4" w:space="0" w:color="E40037"/>
            </w:tcBorders>
          </w:tcPr>
          <w:p w14:paraId="745622EA"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Must be consulted</w:t>
            </w:r>
          </w:p>
        </w:tc>
        <w:tc>
          <w:tcPr>
            <w:tcW w:w="1457" w:type="dxa"/>
            <w:tcBorders>
              <w:top w:val="single" w:sz="4" w:space="0" w:color="E40037"/>
              <w:left w:val="single" w:sz="4" w:space="0" w:color="E40037"/>
              <w:bottom w:val="single" w:sz="4" w:space="0" w:color="E40037"/>
              <w:right w:val="single" w:sz="4" w:space="0" w:color="E40037"/>
            </w:tcBorders>
          </w:tcPr>
          <w:p w14:paraId="27865A94" w14:textId="77777777" w:rsidR="00A20F86" w:rsidRPr="00A20F86" w:rsidRDefault="00A20F86" w:rsidP="00A20F86">
            <w:pPr>
              <w:spacing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Secretary of State will decide.</w:t>
            </w:r>
          </w:p>
        </w:tc>
      </w:tr>
    </w:tbl>
    <w:p w14:paraId="05C2A46B"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172A6089" w14:textId="77777777" w:rsidR="00A20F86" w:rsidRPr="00A20F86" w:rsidRDefault="00A20F86" w:rsidP="00A20F86">
      <w:pPr>
        <w:keepNext/>
        <w:overflowPunct w:val="0"/>
        <w:autoSpaceDE w:val="0"/>
        <w:autoSpaceDN w:val="0"/>
        <w:adjustRightInd w:val="0"/>
        <w:spacing w:after="0" w:line="240" w:lineRule="auto"/>
        <w:ind w:left="540" w:hanging="540"/>
        <w:textAlignment w:val="baseline"/>
        <w:outlineLvl w:val="5"/>
        <w:rPr>
          <w:rFonts w:ascii="Arial" w:eastAsia="Times New Roman" w:hAnsi="Arial" w:cs="Times New Roman"/>
          <w:b/>
          <w:kern w:val="0"/>
          <w:szCs w:val="20"/>
          <w:lang w:eastAsia="en-GB"/>
          <w14:ligatures w14:val="none"/>
        </w:rPr>
      </w:pPr>
      <w:r w:rsidRPr="00A20F86">
        <w:rPr>
          <w:rFonts w:ascii="Arial" w:eastAsia="Times New Roman" w:hAnsi="Arial" w:cs="Times New Roman"/>
          <w:b/>
          <w:kern w:val="0"/>
          <w:szCs w:val="20"/>
          <w:lang w:eastAsia="en-GB"/>
          <w14:ligatures w14:val="none"/>
        </w:rPr>
        <w:t>4.</w:t>
      </w:r>
      <w:r w:rsidRPr="00A20F86">
        <w:rPr>
          <w:rFonts w:ascii="Arial" w:eastAsia="Times New Roman" w:hAnsi="Arial" w:cs="Times New Roman"/>
          <w:b/>
          <w:kern w:val="0"/>
          <w:szCs w:val="20"/>
          <w:lang w:eastAsia="en-GB"/>
          <w14:ligatures w14:val="none"/>
        </w:rPr>
        <w:tab/>
        <w:t>Background</w:t>
      </w:r>
    </w:p>
    <w:p w14:paraId="4FC61C12" w14:textId="77777777" w:rsidR="00A20F86" w:rsidRPr="00A20F86" w:rsidRDefault="00A20F86" w:rsidP="00A20F86">
      <w:pPr>
        <w:spacing w:after="0" w:line="240" w:lineRule="auto"/>
        <w:ind w:left="709" w:hanging="709"/>
        <w:rPr>
          <w:rFonts w:ascii="Arial" w:eastAsia="Times New Roman" w:hAnsi="Arial" w:cs="Times New Roman"/>
          <w:kern w:val="0"/>
          <w:lang w:eastAsia="en-GB"/>
          <w14:ligatures w14:val="none"/>
        </w:rPr>
      </w:pPr>
    </w:p>
    <w:p w14:paraId="7E2FB022"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4.1</w:t>
      </w:r>
      <w:r w:rsidRPr="00A20F86">
        <w:rPr>
          <w:rFonts w:ascii="Arial" w:eastAsia="Times New Roman" w:hAnsi="Arial" w:cs="Times New Roman"/>
          <w:kern w:val="0"/>
          <w:lang w:eastAsia="en-GB"/>
          <w14:ligatures w14:val="none"/>
        </w:rPr>
        <w:tab/>
        <w:t>The DfE has again decided to move away from announcing the provisional DSG settlement in July along with the School Operational Guide which sets out the timetable in setting the DSG budget.</w:t>
      </w:r>
    </w:p>
    <w:p w14:paraId="06850124"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37896E10"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4.2</w:t>
      </w:r>
      <w:r w:rsidRPr="00A20F86">
        <w:rPr>
          <w:rFonts w:ascii="Arial" w:eastAsia="Times New Roman" w:hAnsi="Arial" w:cs="Times New Roman"/>
          <w:kern w:val="0"/>
          <w:lang w:eastAsia="en-GB"/>
          <w14:ligatures w14:val="none"/>
        </w:rPr>
        <w:tab/>
        <w:t xml:space="preserve">The 2025 Spending Review announced the funding for the core schools budget from 2025/26 to 2029/30. </w:t>
      </w:r>
      <w:r w:rsidRPr="00A20F86">
        <w:rPr>
          <w:rFonts w:ascii="Arial" w:eastAsia="Times New Roman" w:hAnsi="Arial" w:cs="Times New Roman"/>
          <w:b/>
          <w:bCs/>
          <w:kern w:val="0"/>
          <w:lang w:eastAsia="en-GB"/>
          <w14:ligatures w14:val="none"/>
        </w:rPr>
        <w:t>Table 2</w:t>
      </w:r>
      <w:r w:rsidRPr="00A20F86">
        <w:rPr>
          <w:rFonts w:ascii="Arial" w:eastAsia="Times New Roman" w:hAnsi="Arial" w:cs="Times New Roman"/>
          <w:kern w:val="0"/>
          <w:lang w:eastAsia="en-GB"/>
          <w14:ligatures w14:val="none"/>
        </w:rPr>
        <w:t xml:space="preserve"> shows the Schools Core Budget announced at the spending review.</w:t>
      </w:r>
    </w:p>
    <w:p w14:paraId="2E502731"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53FC524C"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r w:rsidRPr="00A20F86">
        <w:rPr>
          <w:rFonts w:ascii="Arial" w:eastAsia="Times New Roman" w:hAnsi="Arial" w:cs="Times New Roman"/>
          <w:noProof/>
          <w:kern w:val="0"/>
          <w:lang w:eastAsia="en-GB"/>
          <w14:ligatures w14:val="none"/>
        </w:rPr>
        <w:drawing>
          <wp:inline distT="0" distB="0" distL="0" distR="0" wp14:anchorId="5812A04E" wp14:editId="5D9CA7DA">
            <wp:extent cx="5266690" cy="797560"/>
            <wp:effectExtent l="0" t="0" r="0" b="254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6690" cy="797560"/>
                    </a:xfrm>
                    <a:prstGeom prst="rect">
                      <a:avLst/>
                    </a:prstGeom>
                    <a:noFill/>
                    <a:ln>
                      <a:noFill/>
                    </a:ln>
                  </pic:spPr>
                </pic:pic>
              </a:graphicData>
            </a:graphic>
          </wp:inline>
        </w:drawing>
      </w:r>
    </w:p>
    <w:p w14:paraId="11EE231A"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77C548BA"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4.3</w:t>
      </w:r>
      <w:r w:rsidRPr="00A20F86">
        <w:rPr>
          <w:rFonts w:ascii="Arial" w:eastAsia="Times New Roman" w:hAnsi="Arial" w:cs="Times New Roman"/>
          <w:kern w:val="0"/>
          <w:lang w:eastAsia="en-GB"/>
          <w14:ligatures w14:val="none"/>
        </w:rPr>
        <w:tab/>
        <w:t>Nationally funding will increase by £1.4bn in 2027/28, which is an increase of 2.09%. Any changes for 2027/28 will be announced in the budget on 28 October 2026.</w:t>
      </w:r>
    </w:p>
    <w:p w14:paraId="6683EED2"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6E6DD3D0"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4.4</w:t>
      </w:r>
      <w:r w:rsidRPr="00A20F86">
        <w:rPr>
          <w:rFonts w:ascii="Arial" w:eastAsia="Times New Roman" w:hAnsi="Arial" w:cs="Times New Roman"/>
          <w:kern w:val="0"/>
          <w:lang w:eastAsia="en-GB"/>
          <w14:ligatures w14:val="none"/>
        </w:rPr>
        <w:tab/>
        <w:t>Whilst the year-on-year increase is smaller than the previous year, pupil numbers are declining due to the lower birth rate. The DfE have updated their previous forecast that now shows that nationally pupil numbers will continue to decline to 2031, with primary schools seeing the largest decrease of 473,000 pupils over the next 5 years.</w:t>
      </w:r>
    </w:p>
    <w:p w14:paraId="0663D77D"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3F4E92E1"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4.5</w:t>
      </w:r>
      <w:r w:rsidRPr="00A20F86">
        <w:rPr>
          <w:rFonts w:ascii="Arial" w:eastAsia="Times New Roman" w:hAnsi="Arial" w:cs="Times New Roman"/>
          <w:kern w:val="0"/>
          <w:lang w:eastAsia="en-GB"/>
          <w14:ligatures w14:val="none"/>
        </w:rPr>
        <w:tab/>
        <w:t>The 2027/28 DSG allocation updated for the October 2026 schools census will be published in December.</w:t>
      </w:r>
    </w:p>
    <w:p w14:paraId="06AA09FD" w14:textId="77777777" w:rsidR="00A20F86" w:rsidRP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444DDD5E"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b/>
          <w:kern w:val="0"/>
          <w:lang w:eastAsia="en-GB"/>
          <w14:ligatures w14:val="none"/>
        </w:rPr>
        <w:lastRenderedPageBreak/>
        <w:t>5.</w:t>
      </w:r>
      <w:r w:rsidRPr="00A20F86">
        <w:rPr>
          <w:rFonts w:ascii="Arial" w:eastAsia="Times New Roman" w:hAnsi="Arial" w:cs="Times New Roman"/>
          <w:b/>
          <w:kern w:val="0"/>
          <w:lang w:eastAsia="en-GB"/>
          <w14:ligatures w14:val="none"/>
        </w:rPr>
        <w:tab/>
        <w:t>Schools Block</w:t>
      </w:r>
    </w:p>
    <w:p w14:paraId="7A322A4C"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718DACED"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5.1</w:t>
      </w:r>
      <w:r w:rsidRPr="00A20F86">
        <w:rPr>
          <w:rFonts w:ascii="Arial" w:eastAsia="Times New Roman" w:hAnsi="Arial" w:cs="Times New Roman"/>
          <w:kern w:val="0"/>
          <w:lang w:eastAsia="en-GB"/>
          <w14:ligatures w14:val="none"/>
        </w:rPr>
        <w:tab/>
        <w:t>Local authorities have less information available to them, as last year the Schools National Funding Formula (NFF) Summary Policy Document was published in June but so far, no information has been published to date for 2027/28.</w:t>
      </w:r>
    </w:p>
    <w:p w14:paraId="63300219"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43CD589E"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5.2</w:t>
      </w:r>
      <w:r w:rsidRPr="00A20F86">
        <w:rPr>
          <w:rFonts w:ascii="Arial" w:eastAsia="Times New Roman" w:hAnsi="Arial" w:cs="Times New Roman"/>
          <w:kern w:val="0"/>
          <w:lang w:eastAsia="en-GB"/>
          <w14:ligatures w14:val="none"/>
        </w:rPr>
        <w:tab/>
        <w:t xml:space="preserve">The Authority assumes that the previous pattern of rolling grants into the Schools Block will continue for 2027/28 and therefore assumes the 2026/27 Schools Budget Support Grant, which funded £18.3m to Essex schools, will be rolled into the 2026/27 baseline. </w:t>
      </w:r>
      <w:r w:rsidRPr="00A20F86">
        <w:rPr>
          <w:rFonts w:ascii="Arial" w:eastAsia="Times New Roman" w:hAnsi="Arial" w:cs="Times New Roman"/>
          <w:b/>
          <w:bCs/>
          <w:kern w:val="0"/>
          <w:lang w:eastAsia="en-GB"/>
          <w14:ligatures w14:val="none"/>
        </w:rPr>
        <w:t>Table 3</w:t>
      </w:r>
      <w:r w:rsidRPr="00A20F86">
        <w:rPr>
          <w:rFonts w:ascii="Arial" w:eastAsia="Times New Roman" w:hAnsi="Arial" w:cs="Times New Roman"/>
          <w:kern w:val="0"/>
          <w:lang w:eastAsia="en-GB"/>
          <w14:ligatures w14:val="none"/>
        </w:rPr>
        <w:t xml:space="preserve"> shows the expected funding that has been modelled.</w:t>
      </w:r>
    </w:p>
    <w:p w14:paraId="37CD6F94"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tbl>
      <w:tblPr>
        <w:tblStyle w:val="TableGrid"/>
        <w:tblW w:w="0" w:type="auto"/>
        <w:tblInd w:w="567" w:type="dxa"/>
        <w:tblLook w:val="04A0" w:firstRow="1" w:lastRow="0" w:firstColumn="1" w:lastColumn="0" w:noHBand="0" w:noVBand="1"/>
      </w:tblPr>
      <w:tblGrid>
        <w:gridCol w:w="4957"/>
        <w:gridCol w:w="3106"/>
      </w:tblGrid>
      <w:tr w:rsidR="00A20F86" w:rsidRPr="00A20F86" w14:paraId="321AE674" w14:textId="77777777" w:rsidTr="00697A4E">
        <w:tc>
          <w:tcPr>
            <w:tcW w:w="4957" w:type="dxa"/>
            <w:shd w:val="clear" w:color="auto" w:fill="E40037"/>
          </w:tcPr>
          <w:p w14:paraId="5F3E53DC" w14:textId="77777777" w:rsidR="00A20F86" w:rsidRPr="00A20F86" w:rsidRDefault="00A20F86" w:rsidP="00A20F86">
            <w:pPr>
              <w:rPr>
                <w:rFonts w:ascii="Arial" w:hAnsi="Arial"/>
                <w:b/>
                <w:bCs/>
                <w:color w:val="FFFFFF"/>
              </w:rPr>
            </w:pPr>
          </w:p>
        </w:tc>
        <w:tc>
          <w:tcPr>
            <w:tcW w:w="3106" w:type="dxa"/>
            <w:shd w:val="clear" w:color="auto" w:fill="E40037"/>
          </w:tcPr>
          <w:p w14:paraId="7524099E" w14:textId="77777777" w:rsidR="00A20F86" w:rsidRPr="00A20F86" w:rsidRDefault="00A20F86" w:rsidP="00A20F86">
            <w:pPr>
              <w:jc w:val="center"/>
              <w:rPr>
                <w:rFonts w:ascii="Arial" w:hAnsi="Arial"/>
                <w:b/>
                <w:bCs/>
                <w:color w:val="FFFFFF"/>
              </w:rPr>
            </w:pPr>
            <w:r w:rsidRPr="00A20F86">
              <w:rPr>
                <w:rFonts w:ascii="Arial" w:hAnsi="Arial"/>
                <w:b/>
                <w:bCs/>
                <w:color w:val="FFFFFF"/>
              </w:rPr>
              <w:t>2027/28</w:t>
            </w:r>
          </w:p>
          <w:p w14:paraId="0291E56B" w14:textId="77777777" w:rsidR="00A20F86" w:rsidRPr="00A20F86" w:rsidRDefault="00A20F86" w:rsidP="00A20F86">
            <w:pPr>
              <w:jc w:val="center"/>
              <w:rPr>
                <w:rFonts w:ascii="Arial" w:hAnsi="Arial"/>
                <w:b/>
                <w:bCs/>
                <w:color w:val="FFFFFF"/>
              </w:rPr>
            </w:pPr>
            <w:r w:rsidRPr="00A20F86">
              <w:rPr>
                <w:rFonts w:ascii="Arial" w:hAnsi="Arial"/>
                <w:b/>
                <w:bCs/>
                <w:color w:val="FFFFFF"/>
              </w:rPr>
              <w:t>£m</w:t>
            </w:r>
          </w:p>
        </w:tc>
      </w:tr>
      <w:tr w:rsidR="00A20F86" w:rsidRPr="00A20F86" w14:paraId="7A820BFA" w14:textId="77777777" w:rsidTr="00697A4E">
        <w:tc>
          <w:tcPr>
            <w:tcW w:w="4957" w:type="dxa"/>
          </w:tcPr>
          <w:p w14:paraId="4D07CCE7" w14:textId="77777777" w:rsidR="00A20F86" w:rsidRPr="00A20F86" w:rsidRDefault="00A20F86" w:rsidP="00A20F86">
            <w:pPr>
              <w:rPr>
                <w:rFonts w:ascii="Arial" w:hAnsi="Arial"/>
              </w:rPr>
            </w:pPr>
            <w:r w:rsidRPr="00A20F86">
              <w:rPr>
                <w:rFonts w:ascii="Arial" w:hAnsi="Arial"/>
              </w:rPr>
              <w:t>Baseline Funding</w:t>
            </w:r>
          </w:p>
        </w:tc>
        <w:tc>
          <w:tcPr>
            <w:tcW w:w="3106" w:type="dxa"/>
          </w:tcPr>
          <w:p w14:paraId="3F4CA5D1" w14:textId="77777777" w:rsidR="00A20F86" w:rsidRPr="00A20F86" w:rsidRDefault="00A20F86" w:rsidP="00A20F86">
            <w:pPr>
              <w:jc w:val="right"/>
              <w:rPr>
                <w:rFonts w:ascii="Arial" w:hAnsi="Arial"/>
              </w:rPr>
            </w:pPr>
            <w:r w:rsidRPr="00A20F86">
              <w:rPr>
                <w:rFonts w:ascii="Arial" w:hAnsi="Arial"/>
              </w:rPr>
              <w:t>1,294.2</w:t>
            </w:r>
          </w:p>
        </w:tc>
      </w:tr>
      <w:tr w:rsidR="00A20F86" w:rsidRPr="00A20F86" w14:paraId="63FC7DC0" w14:textId="77777777" w:rsidTr="00697A4E">
        <w:tc>
          <w:tcPr>
            <w:tcW w:w="4957" w:type="dxa"/>
          </w:tcPr>
          <w:p w14:paraId="6A1279D7" w14:textId="77777777" w:rsidR="00A20F86" w:rsidRPr="00A20F86" w:rsidRDefault="00A20F86" w:rsidP="00A20F86">
            <w:pPr>
              <w:rPr>
                <w:rFonts w:ascii="Arial" w:hAnsi="Arial"/>
              </w:rPr>
            </w:pPr>
            <w:r w:rsidRPr="00A20F86">
              <w:rPr>
                <w:rFonts w:ascii="Arial" w:hAnsi="Arial"/>
              </w:rPr>
              <w:t>Add back 2026/27 SB transfer</w:t>
            </w:r>
          </w:p>
        </w:tc>
        <w:tc>
          <w:tcPr>
            <w:tcW w:w="3106" w:type="dxa"/>
          </w:tcPr>
          <w:p w14:paraId="61D92F67" w14:textId="77777777" w:rsidR="00A20F86" w:rsidRPr="00A20F86" w:rsidRDefault="00A20F86" w:rsidP="00A20F86">
            <w:pPr>
              <w:jc w:val="right"/>
              <w:rPr>
                <w:rFonts w:ascii="Arial" w:hAnsi="Arial"/>
              </w:rPr>
            </w:pPr>
            <w:r w:rsidRPr="00A20F86">
              <w:rPr>
                <w:rFonts w:ascii="Arial" w:hAnsi="Arial"/>
              </w:rPr>
              <w:t>13.1</w:t>
            </w:r>
          </w:p>
        </w:tc>
      </w:tr>
      <w:tr w:rsidR="00A20F86" w:rsidRPr="00A20F86" w14:paraId="56D4A386" w14:textId="77777777" w:rsidTr="00697A4E">
        <w:tc>
          <w:tcPr>
            <w:tcW w:w="4957" w:type="dxa"/>
          </w:tcPr>
          <w:p w14:paraId="687107D6" w14:textId="77777777" w:rsidR="00A20F86" w:rsidRPr="00A20F86" w:rsidRDefault="00A20F86" w:rsidP="00A20F86">
            <w:pPr>
              <w:rPr>
                <w:rFonts w:ascii="Arial" w:hAnsi="Arial"/>
              </w:rPr>
            </w:pPr>
            <w:r w:rsidRPr="00A20F86">
              <w:rPr>
                <w:rFonts w:ascii="Arial" w:hAnsi="Arial"/>
              </w:rPr>
              <w:t>Revised Baseline 2026/27</w:t>
            </w:r>
          </w:p>
        </w:tc>
        <w:tc>
          <w:tcPr>
            <w:tcW w:w="3106" w:type="dxa"/>
          </w:tcPr>
          <w:p w14:paraId="53469BD2" w14:textId="77777777" w:rsidR="00A20F86" w:rsidRPr="00A20F86" w:rsidRDefault="00A20F86" w:rsidP="00A20F86">
            <w:pPr>
              <w:jc w:val="right"/>
              <w:rPr>
                <w:rFonts w:ascii="Arial" w:hAnsi="Arial"/>
              </w:rPr>
            </w:pPr>
            <w:r w:rsidRPr="00A20F86">
              <w:rPr>
                <w:rFonts w:ascii="Arial" w:hAnsi="Arial"/>
              </w:rPr>
              <w:t>1,307.3</w:t>
            </w:r>
          </w:p>
        </w:tc>
      </w:tr>
      <w:tr w:rsidR="00A20F86" w:rsidRPr="00A20F86" w14:paraId="69F32FBB" w14:textId="77777777" w:rsidTr="00697A4E">
        <w:tc>
          <w:tcPr>
            <w:tcW w:w="4957" w:type="dxa"/>
          </w:tcPr>
          <w:p w14:paraId="36923C86" w14:textId="77777777" w:rsidR="00A20F86" w:rsidRPr="00A20F86" w:rsidRDefault="00A20F86" w:rsidP="00A20F86">
            <w:pPr>
              <w:rPr>
                <w:rFonts w:ascii="Arial" w:hAnsi="Arial"/>
              </w:rPr>
            </w:pPr>
            <w:r w:rsidRPr="00A20F86">
              <w:rPr>
                <w:rFonts w:ascii="Arial" w:hAnsi="Arial"/>
              </w:rPr>
              <w:t>School Budget Support Grant 2026/27</w:t>
            </w:r>
          </w:p>
        </w:tc>
        <w:tc>
          <w:tcPr>
            <w:tcW w:w="3106" w:type="dxa"/>
          </w:tcPr>
          <w:p w14:paraId="2328A94A" w14:textId="77777777" w:rsidR="00A20F86" w:rsidRPr="00A20F86" w:rsidRDefault="00A20F86" w:rsidP="00A20F86">
            <w:pPr>
              <w:jc w:val="right"/>
              <w:rPr>
                <w:rFonts w:ascii="Arial" w:hAnsi="Arial"/>
              </w:rPr>
            </w:pPr>
            <w:r w:rsidRPr="00A20F86">
              <w:rPr>
                <w:rFonts w:ascii="Arial" w:hAnsi="Arial"/>
              </w:rPr>
              <w:t>18.3</w:t>
            </w:r>
          </w:p>
        </w:tc>
      </w:tr>
      <w:tr w:rsidR="00A20F86" w:rsidRPr="00A20F86" w14:paraId="4E3E9969" w14:textId="77777777" w:rsidTr="00697A4E">
        <w:tc>
          <w:tcPr>
            <w:tcW w:w="4957" w:type="dxa"/>
          </w:tcPr>
          <w:p w14:paraId="317B0D73" w14:textId="77777777" w:rsidR="00A20F86" w:rsidRPr="00A20F86" w:rsidRDefault="00A20F86" w:rsidP="00A20F86">
            <w:pPr>
              <w:rPr>
                <w:rFonts w:ascii="Arial" w:hAnsi="Arial"/>
                <w:b/>
                <w:bCs/>
              </w:rPr>
            </w:pPr>
            <w:r w:rsidRPr="00A20F86">
              <w:rPr>
                <w:rFonts w:ascii="Arial" w:hAnsi="Arial"/>
                <w:b/>
                <w:bCs/>
              </w:rPr>
              <w:t>Estimated Funding 2027/28</w:t>
            </w:r>
          </w:p>
        </w:tc>
        <w:tc>
          <w:tcPr>
            <w:tcW w:w="3106" w:type="dxa"/>
          </w:tcPr>
          <w:p w14:paraId="58BFB98F" w14:textId="77777777" w:rsidR="00A20F86" w:rsidRPr="00A20F86" w:rsidRDefault="00A20F86" w:rsidP="00A20F86">
            <w:pPr>
              <w:jc w:val="right"/>
              <w:rPr>
                <w:rFonts w:ascii="Arial" w:hAnsi="Arial"/>
                <w:b/>
                <w:bCs/>
              </w:rPr>
            </w:pPr>
            <w:r w:rsidRPr="00A20F86">
              <w:rPr>
                <w:rFonts w:ascii="Arial" w:hAnsi="Arial"/>
                <w:b/>
                <w:bCs/>
              </w:rPr>
              <w:t>1,325.6</w:t>
            </w:r>
          </w:p>
        </w:tc>
      </w:tr>
    </w:tbl>
    <w:p w14:paraId="529031A7"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00CDABB7"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5.3</w:t>
      </w:r>
      <w:r w:rsidRPr="00A20F86">
        <w:rPr>
          <w:rFonts w:ascii="Arial" w:eastAsia="Times New Roman" w:hAnsi="Arial" w:cs="Times New Roman"/>
          <w:kern w:val="0"/>
          <w:lang w:eastAsia="en-GB"/>
          <w14:ligatures w14:val="none"/>
        </w:rPr>
        <w:tab/>
        <w:t>The usual methodology for rolling grants into the schools block is to increase the basic entitlement, the free school meals ever 6 factor and the lump sum. There is also an uplift to the minimum per pupil level.</w:t>
      </w:r>
    </w:p>
    <w:p w14:paraId="6D412900"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77CED491"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5.4</w:t>
      </w:r>
      <w:r w:rsidRPr="00A20F86">
        <w:rPr>
          <w:rFonts w:ascii="Arial" w:eastAsia="Times New Roman" w:hAnsi="Arial" w:cs="Times New Roman"/>
          <w:kern w:val="0"/>
          <w:lang w:eastAsia="en-GB"/>
          <w14:ligatures w14:val="none"/>
        </w:rPr>
        <w:tab/>
        <w:t>It is expected that local authorities will be required to continue to move their local formulae 10% closer to the NFF corresponding values, except where local formulae are already ‘mirroring’ the NFF. These criteria do not apply to rates, PFI or exceptional circumstances.</w:t>
      </w:r>
    </w:p>
    <w:p w14:paraId="54BDB5E3"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0CF79F02"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5.5</w:t>
      </w:r>
      <w:r w:rsidRPr="00A20F86">
        <w:rPr>
          <w:rFonts w:ascii="Arial" w:eastAsia="Times New Roman" w:hAnsi="Arial" w:cs="Times New Roman"/>
          <w:kern w:val="0"/>
          <w:lang w:eastAsia="en-GB"/>
          <w14:ligatures w14:val="none"/>
        </w:rPr>
        <w:tab/>
        <w:t>If local factors are within +/- 2.5% of the respective NFF values they ‘mirror’ NFF. In 2026/27 Essex fully ‘mirrored’ NFF. Whilst the London Weighting multiplier will need to move at least 10% closer to NFF, it is excluded from the ‘mirroring’ classification.</w:t>
      </w:r>
    </w:p>
    <w:p w14:paraId="129BC587"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7CF58F8D"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5.6</w:t>
      </w:r>
      <w:r w:rsidRPr="00A20F86">
        <w:rPr>
          <w:rFonts w:ascii="Arial" w:eastAsia="Times New Roman" w:hAnsi="Arial" w:cs="Times New Roman"/>
          <w:kern w:val="0"/>
          <w:lang w:eastAsia="en-GB"/>
          <w14:ligatures w14:val="none"/>
        </w:rPr>
        <w:tab/>
        <w:t>Disapplications, such as exceptional premises factors and school block movements, must be submitted by 16 November.</w:t>
      </w:r>
    </w:p>
    <w:p w14:paraId="7391074F"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1DD261E7"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5.7</w:t>
      </w:r>
      <w:r w:rsidRPr="00A20F86">
        <w:rPr>
          <w:rFonts w:ascii="Arial" w:eastAsia="Times New Roman" w:hAnsi="Arial" w:cs="Times New Roman"/>
          <w:kern w:val="0"/>
          <w:lang w:eastAsia="en-GB"/>
          <w14:ligatures w14:val="none"/>
        </w:rPr>
        <w:tab/>
        <w:t>In May 2018 Schools Forum agreed that the cost of the Tendring PPP buyout will be repaid through an exceptional premises factor within the primary schools funding formula. The DfE now require all exceptional premises factors to be agreed on an annual basis and therefore a disapplication request needs to be submitted. Forum are asked to confirm the May 2018 agreement. The total amount to be funded in 2027/28 is £2.9m which is the same as 2026/27.</w:t>
      </w:r>
    </w:p>
    <w:p w14:paraId="2B02ACAB"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20A6D61E"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5.8</w:t>
      </w:r>
      <w:r w:rsidRPr="00A20F86">
        <w:rPr>
          <w:rFonts w:ascii="Arial" w:eastAsia="Times New Roman" w:hAnsi="Arial" w:cs="Times New Roman"/>
          <w:kern w:val="0"/>
          <w:lang w:eastAsia="en-GB"/>
          <w14:ligatures w14:val="none"/>
        </w:rPr>
        <w:tab/>
        <w:t>Without any information for 2027/28, the Authority must start planning on estimated funding levels.</w:t>
      </w:r>
    </w:p>
    <w:p w14:paraId="3B710701"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09F21D51" w14:textId="77777777" w:rsid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520B2EA7" w14:textId="77777777" w:rsid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7A267D7D" w14:textId="285B4FA5"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lastRenderedPageBreak/>
        <w:t>5.9</w:t>
      </w:r>
      <w:r w:rsidRPr="00A20F86">
        <w:rPr>
          <w:rFonts w:ascii="Arial" w:eastAsia="Times New Roman" w:hAnsi="Arial" w:cs="Times New Roman"/>
          <w:kern w:val="0"/>
          <w:lang w:eastAsia="en-GB"/>
          <w14:ligatures w14:val="none"/>
        </w:rPr>
        <w:tab/>
        <w:t>The Authority will need to comply with the following rules to determine budget allocations for schools:</w:t>
      </w:r>
    </w:p>
    <w:p w14:paraId="31A9133B"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3E538AC9" w14:textId="77777777" w:rsidR="00A20F86" w:rsidRPr="00A20F86" w:rsidRDefault="00A20F86" w:rsidP="00A20F86">
      <w:pPr>
        <w:numPr>
          <w:ilvl w:val="0"/>
          <w:numId w:val="2"/>
        </w:numPr>
        <w:spacing w:after="0" w:line="259" w:lineRule="auto"/>
        <w:ind w:left="1276" w:hanging="425"/>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setting the value for each funding formula factor within the allowed minimum / maximum values;</w:t>
      </w:r>
      <w:r w:rsidRPr="00A20F86">
        <w:rPr>
          <w:rFonts w:ascii="Arial" w:eastAsia="Times New Roman" w:hAnsi="Arial" w:cs="Times New Roman"/>
          <w:kern w:val="0"/>
          <w:lang w:eastAsia="en-GB"/>
          <w14:ligatures w14:val="none"/>
        </w:rPr>
        <w:br/>
      </w:r>
    </w:p>
    <w:p w14:paraId="26001E62" w14:textId="77777777" w:rsidR="00A20F86" w:rsidRPr="00A20F86" w:rsidRDefault="00A20F86" w:rsidP="00A20F86">
      <w:pPr>
        <w:numPr>
          <w:ilvl w:val="0"/>
          <w:numId w:val="2"/>
        </w:numPr>
        <w:spacing w:after="0" w:line="259" w:lineRule="auto"/>
        <w:ind w:left="1276" w:hanging="425"/>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 xml:space="preserve">implementing the set minimum per pupil level: and </w:t>
      </w:r>
      <w:r w:rsidRPr="00A20F86">
        <w:rPr>
          <w:rFonts w:ascii="Arial" w:eastAsia="Times New Roman" w:hAnsi="Arial" w:cs="Times New Roman"/>
          <w:kern w:val="0"/>
          <w:lang w:eastAsia="en-GB"/>
          <w14:ligatures w14:val="none"/>
        </w:rPr>
        <w:br/>
      </w:r>
    </w:p>
    <w:p w14:paraId="6D9A5583" w14:textId="77777777" w:rsidR="00A20F86" w:rsidRPr="00A20F86" w:rsidRDefault="00A20F86" w:rsidP="00A20F86">
      <w:pPr>
        <w:numPr>
          <w:ilvl w:val="0"/>
          <w:numId w:val="2"/>
        </w:numPr>
        <w:spacing w:after="0" w:line="259" w:lineRule="auto"/>
        <w:ind w:left="1276" w:hanging="425"/>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setting the minimum funding guarantee within the allowed limit.</w:t>
      </w:r>
    </w:p>
    <w:p w14:paraId="54CF8078"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37805B6E"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5.10</w:t>
      </w:r>
      <w:r w:rsidRPr="00A20F86">
        <w:rPr>
          <w:rFonts w:ascii="Arial" w:eastAsia="Times New Roman" w:hAnsi="Arial" w:cs="Times New Roman"/>
          <w:kern w:val="0"/>
          <w:lang w:eastAsia="en-GB"/>
          <w14:ligatures w14:val="none"/>
        </w:rPr>
        <w:tab/>
        <w:t>Depending upon the allocation within the Schools Block it may be necessary to take action should it not be possible to afford the Essex Formula for Funding Schools. This could be achieved through the following actions:</w:t>
      </w:r>
      <w:r w:rsidRPr="00A20F86">
        <w:rPr>
          <w:rFonts w:ascii="Arial" w:eastAsia="Times New Roman" w:hAnsi="Arial" w:cs="Times New Roman"/>
          <w:kern w:val="0"/>
          <w:lang w:eastAsia="en-GB"/>
          <w14:ligatures w14:val="none"/>
        </w:rPr>
        <w:br/>
      </w:r>
    </w:p>
    <w:p w14:paraId="52404AA6" w14:textId="77777777" w:rsidR="00A20F86" w:rsidRPr="00A20F86" w:rsidRDefault="00A20F86" w:rsidP="00A20F86">
      <w:pPr>
        <w:numPr>
          <w:ilvl w:val="0"/>
          <w:numId w:val="3"/>
        </w:numPr>
        <w:spacing w:after="0" w:line="259" w:lineRule="auto"/>
        <w:ind w:left="1276" w:hanging="425"/>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Adjusting the value of local factors within the allowable minimum / maximum funding levels.</w:t>
      </w:r>
      <w:r w:rsidRPr="00A20F86">
        <w:rPr>
          <w:rFonts w:ascii="Arial" w:eastAsia="Times New Roman" w:hAnsi="Arial" w:cs="Times New Roman"/>
          <w:kern w:val="0"/>
          <w:lang w:eastAsia="en-GB"/>
          <w14:ligatures w14:val="none"/>
        </w:rPr>
        <w:br/>
      </w:r>
    </w:p>
    <w:p w14:paraId="077CAB48" w14:textId="77777777" w:rsidR="00A20F86" w:rsidRPr="00A20F86" w:rsidRDefault="00A20F86" w:rsidP="00A20F86">
      <w:pPr>
        <w:numPr>
          <w:ilvl w:val="0"/>
          <w:numId w:val="3"/>
        </w:numPr>
        <w:spacing w:after="0" w:line="259" w:lineRule="auto"/>
        <w:ind w:left="1276" w:hanging="425"/>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Adjusting the minimum funding guarantee within the allowable range.</w:t>
      </w:r>
      <w:r w:rsidRPr="00A20F86">
        <w:rPr>
          <w:rFonts w:ascii="Arial" w:eastAsia="Times New Roman" w:hAnsi="Arial" w:cs="Times New Roman"/>
          <w:kern w:val="0"/>
          <w:lang w:eastAsia="en-GB"/>
          <w14:ligatures w14:val="none"/>
        </w:rPr>
        <w:br/>
      </w:r>
    </w:p>
    <w:p w14:paraId="54C3AEFD" w14:textId="77777777" w:rsidR="00A20F86" w:rsidRPr="00A20F86" w:rsidRDefault="00A20F86" w:rsidP="00A20F86">
      <w:pPr>
        <w:numPr>
          <w:ilvl w:val="0"/>
          <w:numId w:val="3"/>
        </w:numPr>
        <w:spacing w:after="0" w:line="259" w:lineRule="auto"/>
        <w:ind w:left="1276" w:hanging="425"/>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Adjust allocations to schools above an agreed level through capping and scaling.</w:t>
      </w:r>
      <w:r w:rsidRPr="00A20F86">
        <w:rPr>
          <w:rFonts w:ascii="Arial" w:eastAsia="Times New Roman" w:hAnsi="Arial" w:cs="Times New Roman"/>
          <w:kern w:val="0"/>
          <w:lang w:eastAsia="en-GB"/>
          <w14:ligatures w14:val="none"/>
        </w:rPr>
        <w:br/>
      </w:r>
    </w:p>
    <w:p w14:paraId="721D04D6"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5.11</w:t>
      </w:r>
      <w:r w:rsidRPr="00A20F86">
        <w:rPr>
          <w:rFonts w:ascii="Arial" w:eastAsia="Times New Roman" w:hAnsi="Arial" w:cs="Times New Roman"/>
          <w:kern w:val="0"/>
          <w:lang w:eastAsia="en-GB"/>
          <w14:ligatures w14:val="none"/>
        </w:rPr>
        <w:tab/>
        <w:t xml:space="preserve">Under exceptional circumstances where the local formula is still not affordable after using the above actions, local authorities may seek a disapplication from the Secretary of State to set a lower value for MPPL or MFG. </w:t>
      </w:r>
    </w:p>
    <w:p w14:paraId="5E4F7948"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29EC9C98"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b/>
          <w:bCs/>
          <w:kern w:val="0"/>
          <w:lang w:eastAsia="en-GB"/>
          <w14:ligatures w14:val="none"/>
        </w:rPr>
        <w:tab/>
        <w:t>Minimum / Maximum Allowable Local Factor Values</w:t>
      </w:r>
    </w:p>
    <w:p w14:paraId="75403A19"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3C01CAD7"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5.12</w:t>
      </w:r>
      <w:r w:rsidRPr="00A20F86">
        <w:rPr>
          <w:rFonts w:ascii="Arial" w:eastAsia="Times New Roman" w:hAnsi="Arial" w:cs="Times New Roman"/>
          <w:kern w:val="0"/>
          <w:lang w:eastAsia="en-GB"/>
          <w14:ligatures w14:val="none"/>
        </w:rPr>
        <w:tab/>
        <w:t>With the exception of 2025/26 the Authority has funded each factor, excluding the basic entitlement, at the midpoint between the minimum and maximum allowed. In 2025/26 due to the affordability of the formula each factor, excluding the basic entitlement, was funded at the minimum value allowed.</w:t>
      </w:r>
    </w:p>
    <w:p w14:paraId="2BCF7A64"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51971177"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5.13</w:t>
      </w:r>
      <w:r w:rsidRPr="00A20F86">
        <w:rPr>
          <w:rFonts w:ascii="Arial" w:eastAsia="Times New Roman" w:hAnsi="Arial" w:cs="Times New Roman"/>
          <w:kern w:val="0"/>
          <w:lang w:eastAsia="en-GB"/>
          <w14:ligatures w14:val="none"/>
        </w:rPr>
        <w:tab/>
        <w:t>Depending on the final DSG settlement, the Authority may need to move away from the midpoint value. This could be either a decrease or an increase, as sometimes increasing factor values, especially the lump sum, may increase funding for schools above the minimum per pupil level or minimum funding guarantee, which allows more funding to flow through the basic entitlement.</w:t>
      </w:r>
    </w:p>
    <w:p w14:paraId="2B85D27B"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47E880C4"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5.14</w:t>
      </w:r>
      <w:r w:rsidRPr="00A20F86">
        <w:rPr>
          <w:rFonts w:ascii="Arial" w:eastAsia="Times New Roman" w:hAnsi="Arial" w:cs="Times New Roman"/>
          <w:kern w:val="0"/>
          <w:lang w:eastAsia="en-GB"/>
          <w14:ligatures w14:val="none"/>
        </w:rPr>
        <w:tab/>
        <w:t>Essex will be required to move the London Fringe multiplier at least 10% closer to the NFF value of 1.0347. The London Fringe multiplier was 1.0206 in 2026/27, so it will need to move to a minimum of 1.0220 in 2027/28.</w:t>
      </w:r>
    </w:p>
    <w:p w14:paraId="3DA0AF01"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58667DFF" w14:textId="77777777" w:rsidR="00A20F86" w:rsidRPr="00A20F86" w:rsidRDefault="00A20F86" w:rsidP="00A20F86">
      <w:pPr>
        <w:spacing w:after="0" w:line="240" w:lineRule="auto"/>
        <w:ind w:left="567" w:hanging="567"/>
        <w:rPr>
          <w:rFonts w:ascii="Arial" w:eastAsia="Times New Roman" w:hAnsi="Arial" w:cs="Times New Roman"/>
          <w:b/>
          <w:bCs/>
          <w:kern w:val="0"/>
          <w:lang w:eastAsia="en-GB"/>
          <w14:ligatures w14:val="none"/>
        </w:rPr>
      </w:pPr>
      <w:r w:rsidRPr="00A20F86">
        <w:rPr>
          <w:rFonts w:ascii="Arial" w:eastAsia="Times New Roman" w:hAnsi="Arial" w:cs="Times New Roman"/>
          <w:kern w:val="0"/>
          <w:lang w:eastAsia="en-GB"/>
          <w14:ligatures w14:val="none"/>
        </w:rPr>
        <w:tab/>
      </w:r>
      <w:r w:rsidRPr="00A20F86">
        <w:rPr>
          <w:rFonts w:ascii="Arial" w:eastAsia="Times New Roman" w:hAnsi="Arial" w:cs="Times New Roman"/>
          <w:b/>
          <w:bCs/>
          <w:kern w:val="0"/>
          <w:lang w:eastAsia="en-GB"/>
          <w14:ligatures w14:val="none"/>
        </w:rPr>
        <w:t>Minimum Funding Guarantee</w:t>
      </w:r>
    </w:p>
    <w:p w14:paraId="6EFC8829"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690075A4"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5.15</w:t>
      </w:r>
      <w:r w:rsidRPr="00A20F86">
        <w:rPr>
          <w:rFonts w:ascii="Arial" w:eastAsia="Times New Roman" w:hAnsi="Arial" w:cs="Times New Roman"/>
          <w:kern w:val="0"/>
          <w:lang w:eastAsia="en-GB"/>
          <w14:ligatures w14:val="none"/>
        </w:rPr>
        <w:tab/>
        <w:t>The minimum funding guarantee (MFG) protects schools from excessive year-on-year changes. In 2026/27 local authorities could set the MFG between -0.5% and 0.0% per pupil.</w:t>
      </w:r>
    </w:p>
    <w:p w14:paraId="51AE1262"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1E041278"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lastRenderedPageBreak/>
        <w:t>5.16</w:t>
      </w:r>
      <w:r w:rsidRPr="00A20F86">
        <w:rPr>
          <w:rFonts w:ascii="Arial" w:eastAsia="Times New Roman" w:hAnsi="Arial" w:cs="Times New Roman"/>
          <w:kern w:val="0"/>
          <w:lang w:eastAsia="en-GB"/>
          <w14:ligatures w14:val="none"/>
        </w:rPr>
        <w:tab/>
        <w:t>Essex set the MFG at -0.3% for 2026/27 to ensure the Essex formula for funding schools remained affordable. Depending on the funding allocated for 2027/28 the Authority aims to set MFG within the range allowed.</w:t>
      </w:r>
    </w:p>
    <w:p w14:paraId="1D454968"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42B4D22C" w14:textId="1697971D" w:rsidR="00A20F86" w:rsidRPr="00A20F86" w:rsidRDefault="00A20F86" w:rsidP="00A20F86">
      <w:pPr>
        <w:spacing w:after="0" w:line="240" w:lineRule="auto"/>
        <w:ind w:left="567" w:hanging="567"/>
        <w:rPr>
          <w:rFonts w:ascii="Arial" w:eastAsia="Times New Roman" w:hAnsi="Arial" w:cs="Times New Roman"/>
          <w:b/>
          <w:bCs/>
          <w:kern w:val="0"/>
          <w:lang w:eastAsia="en-GB"/>
          <w14:ligatures w14:val="none"/>
        </w:rPr>
      </w:pPr>
      <w:r w:rsidRPr="00A20F86">
        <w:rPr>
          <w:rFonts w:ascii="Arial" w:eastAsia="Times New Roman" w:hAnsi="Arial" w:cs="Times New Roman"/>
          <w:kern w:val="0"/>
          <w:lang w:eastAsia="en-GB"/>
          <w14:ligatures w14:val="none"/>
        </w:rPr>
        <w:t>5.17</w:t>
      </w:r>
      <w:r w:rsidRPr="00A20F86">
        <w:rPr>
          <w:rFonts w:ascii="Arial" w:eastAsia="Times New Roman" w:hAnsi="Arial" w:cs="Times New Roman"/>
          <w:kern w:val="0"/>
          <w:lang w:eastAsia="en-GB"/>
          <w14:ligatures w14:val="none"/>
        </w:rPr>
        <w:tab/>
        <w:t>In extreme circumstances where a local formula remains unaffordable, local authorities can apply to set a lower MFG on the grounds of affordability if all other flexibilities have been exhausted.</w:t>
      </w:r>
      <w:r w:rsidRPr="00A20F86">
        <w:rPr>
          <w:rFonts w:ascii="Arial" w:eastAsia="Times New Roman" w:hAnsi="Arial" w:cs="Times New Roman"/>
          <w:kern w:val="0"/>
          <w:lang w:eastAsia="en-GB"/>
          <w14:ligatures w14:val="none"/>
        </w:rPr>
        <w:br/>
      </w:r>
    </w:p>
    <w:p w14:paraId="2DEFB528"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b/>
          <w:bCs/>
          <w:kern w:val="0"/>
          <w:lang w:eastAsia="en-GB"/>
          <w14:ligatures w14:val="none"/>
        </w:rPr>
        <w:tab/>
        <w:t>Capping and Scaling</w:t>
      </w:r>
      <w:r w:rsidRPr="00A20F86">
        <w:rPr>
          <w:rFonts w:ascii="Arial" w:eastAsia="Times New Roman" w:hAnsi="Arial" w:cs="Times New Roman"/>
          <w:kern w:val="0"/>
          <w:lang w:eastAsia="en-GB"/>
          <w14:ligatures w14:val="none"/>
        </w:rPr>
        <w:br/>
      </w:r>
    </w:p>
    <w:p w14:paraId="60058AD5"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5.18</w:t>
      </w:r>
      <w:r w:rsidRPr="00A20F86">
        <w:rPr>
          <w:rFonts w:ascii="Arial" w:eastAsia="Times New Roman" w:hAnsi="Arial" w:cs="Times New Roman"/>
          <w:kern w:val="0"/>
          <w:lang w:eastAsia="en-GB"/>
          <w14:ligatures w14:val="none"/>
        </w:rPr>
        <w:tab/>
        <w:t>To ensure the local formula is affordable local authorities can choose to cap any gains schools receive. Capping must be applied on the same basis to all schools but cannot be applied to new schools that have opened in the last 7 years and have not reached their full number of year groups.</w:t>
      </w:r>
    </w:p>
    <w:p w14:paraId="4FABFC46"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13F9DCAE"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5.19</w:t>
      </w:r>
      <w:r w:rsidRPr="00A20F86">
        <w:rPr>
          <w:rFonts w:ascii="Arial" w:eastAsia="Times New Roman" w:hAnsi="Arial" w:cs="Times New Roman"/>
          <w:kern w:val="0"/>
          <w:lang w:eastAsia="en-GB"/>
          <w14:ligatures w14:val="none"/>
        </w:rPr>
        <w:tab/>
        <w:t>Local authorities in consultation with their Schools Forum must determine whether and how to limit gains. Capping cannot take a school below the minimum per pupil level and must be set at least as high as the MFG threshold to ensure schools retain any gains due through MFG.</w:t>
      </w:r>
    </w:p>
    <w:p w14:paraId="7393AB1E"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031888AD"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5.20</w:t>
      </w:r>
      <w:r w:rsidRPr="00A20F86">
        <w:rPr>
          <w:rFonts w:ascii="Arial" w:eastAsia="Times New Roman" w:hAnsi="Arial" w:cs="Times New Roman"/>
          <w:kern w:val="0"/>
          <w:lang w:eastAsia="en-GB"/>
          <w14:ligatures w14:val="none"/>
        </w:rPr>
        <w:tab/>
        <w:t>An example of where capping could be needed is where there in insufficient funding in the schools block to set the basic entitlement at or above the minimum value allowed. This can occur where the cost of protecting schools through the minimum funding guarantee and the minimum per pupil level is high. The use of capping will allow sufficient funding to set an allowable basic entitlement value.</w:t>
      </w:r>
    </w:p>
    <w:p w14:paraId="5F40022D"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35A0746F"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5.21</w:t>
      </w:r>
      <w:r w:rsidRPr="00A20F86">
        <w:rPr>
          <w:rFonts w:ascii="Arial" w:eastAsia="Times New Roman" w:hAnsi="Arial" w:cs="Times New Roman"/>
          <w:kern w:val="0"/>
          <w:lang w:eastAsia="en-GB"/>
          <w14:ligatures w14:val="none"/>
        </w:rPr>
        <w:tab/>
      </w:r>
      <w:r w:rsidRPr="00A20F86">
        <w:rPr>
          <w:rFonts w:ascii="Arial" w:eastAsia="Times New Roman" w:hAnsi="Arial" w:cs="Times New Roman"/>
          <w:b/>
          <w:bCs/>
          <w:kern w:val="0"/>
          <w:lang w:eastAsia="en-GB"/>
          <w14:ligatures w14:val="none"/>
        </w:rPr>
        <w:t xml:space="preserve">Table 4 </w:t>
      </w:r>
      <w:r w:rsidRPr="00A20F86">
        <w:rPr>
          <w:rFonts w:ascii="Arial" w:eastAsia="Times New Roman" w:hAnsi="Arial" w:cs="Times New Roman"/>
          <w:kern w:val="0"/>
          <w:lang w:eastAsia="en-GB"/>
          <w14:ligatures w14:val="none"/>
        </w:rPr>
        <w:t>shows an example of how capping works, for example, if the Authority sets the maximum amount a school can gain is 3%.</w:t>
      </w:r>
    </w:p>
    <w:p w14:paraId="679F8902"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6E5804E4"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tbl>
      <w:tblPr>
        <w:tblStyle w:val="ListTable3-Accent21"/>
        <w:tblW w:w="0" w:type="auto"/>
        <w:tblLook w:val="04A0" w:firstRow="1" w:lastRow="0" w:firstColumn="1" w:lastColumn="0" w:noHBand="0" w:noVBand="1"/>
      </w:tblPr>
      <w:tblGrid>
        <w:gridCol w:w="1502"/>
        <w:gridCol w:w="1502"/>
        <w:gridCol w:w="1503"/>
        <w:gridCol w:w="1503"/>
        <w:gridCol w:w="1503"/>
        <w:gridCol w:w="1503"/>
      </w:tblGrid>
      <w:tr w:rsidR="00A20F86" w:rsidRPr="00A20F86" w14:paraId="23D3DABE" w14:textId="77777777" w:rsidTr="00697A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02" w:type="dxa"/>
            <w:shd w:val="clear" w:color="auto" w:fill="E40037"/>
          </w:tcPr>
          <w:p w14:paraId="41C07FA3" w14:textId="77777777" w:rsidR="00A20F86" w:rsidRPr="00A20F86" w:rsidRDefault="00A20F86" w:rsidP="00A20F86">
            <w:pPr>
              <w:spacing w:line="259" w:lineRule="auto"/>
              <w:rPr>
                <w:rFonts w:ascii="Arial" w:eastAsia="Calibri" w:hAnsi="Arial" w:cs="Arial"/>
                <w:szCs w:val="22"/>
              </w:rPr>
            </w:pPr>
          </w:p>
          <w:p w14:paraId="10ED5DC5" w14:textId="77777777" w:rsidR="00A20F86" w:rsidRPr="00A20F86" w:rsidRDefault="00A20F86" w:rsidP="00A20F86">
            <w:pPr>
              <w:spacing w:line="259" w:lineRule="auto"/>
              <w:rPr>
                <w:rFonts w:ascii="Arial" w:eastAsia="Calibri" w:hAnsi="Arial" w:cs="Arial"/>
                <w:szCs w:val="22"/>
              </w:rPr>
            </w:pPr>
          </w:p>
          <w:p w14:paraId="7D3301F7"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School</w:t>
            </w:r>
          </w:p>
        </w:tc>
        <w:tc>
          <w:tcPr>
            <w:tcW w:w="1502" w:type="dxa"/>
            <w:shd w:val="clear" w:color="auto" w:fill="E40037"/>
          </w:tcPr>
          <w:p w14:paraId="28DF51CD"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p>
          <w:p w14:paraId="1A51DCB3"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2025/26</w:t>
            </w:r>
          </w:p>
          <w:p w14:paraId="518C6D7B"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w:t>
            </w:r>
          </w:p>
        </w:tc>
        <w:tc>
          <w:tcPr>
            <w:tcW w:w="1503" w:type="dxa"/>
            <w:shd w:val="clear" w:color="auto" w:fill="E40037"/>
          </w:tcPr>
          <w:p w14:paraId="1350F934"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p>
          <w:p w14:paraId="2474FA7D"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2026/27</w:t>
            </w:r>
          </w:p>
          <w:p w14:paraId="36BA4289"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w:t>
            </w:r>
          </w:p>
        </w:tc>
        <w:tc>
          <w:tcPr>
            <w:tcW w:w="1503" w:type="dxa"/>
            <w:shd w:val="clear" w:color="auto" w:fill="E40037"/>
          </w:tcPr>
          <w:p w14:paraId="2297534B"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p>
          <w:p w14:paraId="22632FB3"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 Change</w:t>
            </w:r>
          </w:p>
        </w:tc>
        <w:tc>
          <w:tcPr>
            <w:tcW w:w="1503" w:type="dxa"/>
            <w:shd w:val="clear" w:color="auto" w:fill="E40037"/>
          </w:tcPr>
          <w:p w14:paraId="5229BC7E"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3% Threshold</w:t>
            </w:r>
          </w:p>
          <w:p w14:paraId="26311F24"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w:t>
            </w:r>
          </w:p>
        </w:tc>
        <w:tc>
          <w:tcPr>
            <w:tcW w:w="1503" w:type="dxa"/>
            <w:shd w:val="clear" w:color="auto" w:fill="E40037"/>
          </w:tcPr>
          <w:p w14:paraId="45847B19"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p>
          <w:p w14:paraId="067351D1"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Reduction</w:t>
            </w:r>
          </w:p>
          <w:p w14:paraId="11166957"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w:t>
            </w:r>
          </w:p>
        </w:tc>
      </w:tr>
      <w:tr w:rsidR="00A20F86" w:rsidRPr="00A20F86" w14:paraId="589601AA"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tcPr>
          <w:p w14:paraId="117B5DFA"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School A</w:t>
            </w:r>
          </w:p>
        </w:tc>
        <w:tc>
          <w:tcPr>
            <w:tcW w:w="1502" w:type="dxa"/>
          </w:tcPr>
          <w:p w14:paraId="44D10714"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1,000,000</w:t>
            </w:r>
          </w:p>
        </w:tc>
        <w:tc>
          <w:tcPr>
            <w:tcW w:w="1503" w:type="dxa"/>
          </w:tcPr>
          <w:p w14:paraId="22095A24"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1,090,000</w:t>
            </w:r>
          </w:p>
        </w:tc>
        <w:tc>
          <w:tcPr>
            <w:tcW w:w="1503" w:type="dxa"/>
          </w:tcPr>
          <w:p w14:paraId="5BD3E2AE"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9%</w:t>
            </w:r>
          </w:p>
        </w:tc>
        <w:tc>
          <w:tcPr>
            <w:tcW w:w="1503" w:type="dxa"/>
          </w:tcPr>
          <w:p w14:paraId="6AAC119D"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1,030,000</w:t>
            </w:r>
          </w:p>
        </w:tc>
        <w:tc>
          <w:tcPr>
            <w:tcW w:w="1503" w:type="dxa"/>
          </w:tcPr>
          <w:p w14:paraId="662C9D28"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60,000</w:t>
            </w:r>
          </w:p>
        </w:tc>
      </w:tr>
      <w:tr w:rsidR="00A20F86" w:rsidRPr="00A20F86" w14:paraId="0138F0D8" w14:textId="77777777" w:rsidTr="00697A4E">
        <w:tc>
          <w:tcPr>
            <w:cnfStyle w:val="001000000000" w:firstRow="0" w:lastRow="0" w:firstColumn="1" w:lastColumn="0" w:oddVBand="0" w:evenVBand="0" w:oddHBand="0" w:evenHBand="0" w:firstRowFirstColumn="0" w:firstRowLastColumn="0" w:lastRowFirstColumn="0" w:lastRowLastColumn="0"/>
            <w:tcW w:w="1502" w:type="dxa"/>
          </w:tcPr>
          <w:p w14:paraId="0DCAB373"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School B</w:t>
            </w:r>
          </w:p>
        </w:tc>
        <w:tc>
          <w:tcPr>
            <w:tcW w:w="1502" w:type="dxa"/>
          </w:tcPr>
          <w:p w14:paraId="3452EA57"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750,000</w:t>
            </w:r>
          </w:p>
        </w:tc>
        <w:tc>
          <w:tcPr>
            <w:tcW w:w="1503" w:type="dxa"/>
          </w:tcPr>
          <w:p w14:paraId="6BF4E1D8"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771,000</w:t>
            </w:r>
          </w:p>
        </w:tc>
        <w:tc>
          <w:tcPr>
            <w:tcW w:w="1503" w:type="dxa"/>
          </w:tcPr>
          <w:p w14:paraId="2C891E4C"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2.8%</w:t>
            </w:r>
          </w:p>
        </w:tc>
        <w:tc>
          <w:tcPr>
            <w:tcW w:w="1503" w:type="dxa"/>
          </w:tcPr>
          <w:p w14:paraId="235C02C8"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772,500</w:t>
            </w:r>
          </w:p>
        </w:tc>
        <w:tc>
          <w:tcPr>
            <w:tcW w:w="1503" w:type="dxa"/>
          </w:tcPr>
          <w:p w14:paraId="1BE37CD6"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r>
      <w:tr w:rsidR="00A20F86" w:rsidRPr="00A20F86" w14:paraId="1296A96A"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tcPr>
          <w:p w14:paraId="007C2C72"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School C</w:t>
            </w:r>
          </w:p>
        </w:tc>
        <w:tc>
          <w:tcPr>
            <w:tcW w:w="1502" w:type="dxa"/>
          </w:tcPr>
          <w:p w14:paraId="36C1B7B4"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500,000</w:t>
            </w:r>
          </w:p>
        </w:tc>
        <w:tc>
          <w:tcPr>
            <w:tcW w:w="1503" w:type="dxa"/>
          </w:tcPr>
          <w:p w14:paraId="40B152C3"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522,500</w:t>
            </w:r>
          </w:p>
        </w:tc>
        <w:tc>
          <w:tcPr>
            <w:tcW w:w="1503" w:type="dxa"/>
          </w:tcPr>
          <w:p w14:paraId="6DC0D050"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4.5%</w:t>
            </w:r>
          </w:p>
        </w:tc>
        <w:tc>
          <w:tcPr>
            <w:tcW w:w="1503" w:type="dxa"/>
          </w:tcPr>
          <w:p w14:paraId="19048639"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515,000</w:t>
            </w:r>
          </w:p>
        </w:tc>
        <w:tc>
          <w:tcPr>
            <w:tcW w:w="1503" w:type="dxa"/>
          </w:tcPr>
          <w:p w14:paraId="5D9E079B"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7,500</w:t>
            </w:r>
          </w:p>
        </w:tc>
      </w:tr>
      <w:tr w:rsidR="00A20F86" w:rsidRPr="00A20F86" w14:paraId="2FCE5FDC" w14:textId="77777777" w:rsidTr="00697A4E">
        <w:tc>
          <w:tcPr>
            <w:cnfStyle w:val="001000000000" w:firstRow="0" w:lastRow="0" w:firstColumn="1" w:lastColumn="0" w:oddVBand="0" w:evenVBand="0" w:oddHBand="0" w:evenHBand="0" w:firstRowFirstColumn="0" w:firstRowLastColumn="0" w:lastRowFirstColumn="0" w:lastRowLastColumn="0"/>
            <w:tcW w:w="1502" w:type="dxa"/>
          </w:tcPr>
          <w:p w14:paraId="38EE14C2"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School D</w:t>
            </w:r>
          </w:p>
        </w:tc>
        <w:tc>
          <w:tcPr>
            <w:tcW w:w="1502" w:type="dxa"/>
          </w:tcPr>
          <w:p w14:paraId="209F3ABC"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1,200,000</w:t>
            </w:r>
          </w:p>
        </w:tc>
        <w:tc>
          <w:tcPr>
            <w:tcW w:w="1503" w:type="dxa"/>
          </w:tcPr>
          <w:p w14:paraId="179CF320"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1,236,000</w:t>
            </w:r>
          </w:p>
        </w:tc>
        <w:tc>
          <w:tcPr>
            <w:tcW w:w="1503" w:type="dxa"/>
          </w:tcPr>
          <w:p w14:paraId="7B27C845"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3%</w:t>
            </w:r>
          </w:p>
        </w:tc>
        <w:tc>
          <w:tcPr>
            <w:tcW w:w="1503" w:type="dxa"/>
          </w:tcPr>
          <w:p w14:paraId="403B015E"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1,236,000</w:t>
            </w:r>
          </w:p>
        </w:tc>
        <w:tc>
          <w:tcPr>
            <w:tcW w:w="1503" w:type="dxa"/>
          </w:tcPr>
          <w:p w14:paraId="32B04831"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r>
    </w:tbl>
    <w:p w14:paraId="1B404F85"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0D375791"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5.22</w:t>
      </w:r>
      <w:r w:rsidRPr="00A20F86">
        <w:rPr>
          <w:rFonts w:ascii="Arial" w:eastAsia="Times New Roman" w:hAnsi="Arial" w:cs="Times New Roman"/>
          <w:kern w:val="0"/>
          <w:lang w:eastAsia="en-GB"/>
          <w14:ligatures w14:val="none"/>
        </w:rPr>
        <w:tab/>
        <w:t>Essex set a cap of 0.5% in 2025/26 which deducted £489,000 from 51 schools. The Authority may need to use capping and scaling in 2027/28 to ensure the local formula remains affordable.</w:t>
      </w:r>
    </w:p>
    <w:p w14:paraId="1F271CA3"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4BB4AB29"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2E3DC00B"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398CDD2D"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6AE98717"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72D736A9"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7EE8FB88"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5570A7CC"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3A824D37" w14:textId="4B068D89"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
          <w:kern w:val="0"/>
          <w:lang w:eastAsia="en-GB"/>
          <w14:ligatures w14:val="none"/>
        </w:rPr>
        <w:lastRenderedPageBreak/>
        <w:t>6.</w:t>
      </w:r>
      <w:r w:rsidRPr="00A20F86">
        <w:rPr>
          <w:rFonts w:ascii="Arial" w:eastAsia="Times New Roman" w:hAnsi="Arial" w:cs="Times New Roman"/>
          <w:b/>
          <w:kern w:val="0"/>
          <w:lang w:eastAsia="en-GB"/>
          <w14:ligatures w14:val="none"/>
        </w:rPr>
        <w:tab/>
        <w:t xml:space="preserve">The proposal to transfer 1.0% (c.£13.3m) from the Schools Block to the High Needs Block. </w:t>
      </w:r>
    </w:p>
    <w:p w14:paraId="33D91312" w14:textId="77777777" w:rsidR="00A20F86" w:rsidRPr="00A20F86" w:rsidRDefault="00A20F86" w:rsidP="00A20F86">
      <w:pPr>
        <w:spacing w:after="0" w:line="240" w:lineRule="auto"/>
        <w:rPr>
          <w:rFonts w:ascii="Arial" w:eastAsia="Times New Roman" w:hAnsi="Arial" w:cs="Times New Roman"/>
          <w:bCs/>
          <w:kern w:val="0"/>
          <w:lang w:eastAsia="en-GB"/>
          <w14:ligatures w14:val="none"/>
        </w:rPr>
      </w:pPr>
    </w:p>
    <w:p w14:paraId="29BD5615"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6.1</w:t>
      </w:r>
      <w:r w:rsidRPr="00A20F86">
        <w:rPr>
          <w:rFonts w:ascii="Arial" w:eastAsia="Times New Roman" w:hAnsi="Arial" w:cs="Times New Roman"/>
          <w:bCs/>
          <w:kern w:val="0"/>
          <w:lang w:eastAsia="en-GB"/>
          <w14:ligatures w14:val="none"/>
        </w:rPr>
        <w:tab/>
        <w:t xml:space="preserve">As per previous years including both 2025/26 and 2026/27 and following consultations with schools funding has been transferred from the Schools Block and the Central Support Services Block to help mitigate financial pressures within the High Needs Block (HNB). </w:t>
      </w:r>
    </w:p>
    <w:p w14:paraId="5F9C347A"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p>
    <w:p w14:paraId="069605CA"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6.2</w:t>
      </w:r>
      <w:r w:rsidRPr="00A20F86">
        <w:rPr>
          <w:rFonts w:ascii="Arial" w:eastAsia="Times New Roman" w:hAnsi="Arial" w:cs="Times New Roman"/>
          <w:bCs/>
          <w:kern w:val="0"/>
          <w:lang w:eastAsia="en-GB"/>
          <w14:ligatures w14:val="none"/>
        </w:rPr>
        <w:tab/>
        <w:t xml:space="preserve">Essex working in partnership with schools has a vital role in supporting children with SEND to achieve the best possible educational and wider outcomes. However, continued increase in the volumes of EHCP’s alongside increasing complexity of need and funding constraints, the Authority is facing significant and increasing financial pressure on the High Needs Block. </w:t>
      </w:r>
    </w:p>
    <w:p w14:paraId="4468C537"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p>
    <w:p w14:paraId="0262969E"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 xml:space="preserve">6.3 </w:t>
      </w:r>
      <w:r w:rsidRPr="00A20F86">
        <w:rPr>
          <w:rFonts w:ascii="Arial" w:eastAsia="Times New Roman" w:hAnsi="Arial" w:cs="Times New Roman"/>
          <w:bCs/>
          <w:kern w:val="0"/>
          <w:lang w:eastAsia="en-GB"/>
          <w14:ligatures w14:val="none"/>
        </w:rPr>
        <w:tab/>
        <w:t xml:space="preserve">The 2026/27 deficit alone is forecast to be </w:t>
      </w:r>
      <w:r w:rsidRPr="00A20F86">
        <w:rPr>
          <w:rFonts w:ascii="Arial" w:eastAsia="Times New Roman" w:hAnsi="Arial" w:cs="Times New Roman"/>
          <w:b/>
          <w:kern w:val="0"/>
          <w:lang w:eastAsia="en-GB"/>
          <w14:ligatures w14:val="none"/>
        </w:rPr>
        <w:t>£62.6m</w:t>
      </w:r>
      <w:r w:rsidRPr="00A20F86">
        <w:rPr>
          <w:rFonts w:ascii="Arial" w:eastAsia="Times New Roman" w:hAnsi="Arial" w:cs="Times New Roman"/>
          <w:bCs/>
          <w:kern w:val="0"/>
          <w:lang w:eastAsia="en-GB"/>
          <w14:ligatures w14:val="none"/>
        </w:rPr>
        <w:t xml:space="preserve">. Without the Schools Block transfer agreed for the current year the deficit would be </w:t>
      </w:r>
      <w:r w:rsidRPr="00A20F86">
        <w:rPr>
          <w:rFonts w:ascii="Arial" w:eastAsia="Times New Roman" w:hAnsi="Arial" w:cs="Times New Roman"/>
          <w:b/>
          <w:kern w:val="0"/>
          <w:lang w:eastAsia="en-GB"/>
          <w14:ligatures w14:val="none"/>
        </w:rPr>
        <w:t>£75.7m</w:t>
      </w:r>
      <w:r w:rsidRPr="00A20F86">
        <w:rPr>
          <w:rFonts w:ascii="Arial" w:eastAsia="Times New Roman" w:hAnsi="Arial" w:cs="Times New Roman"/>
          <w:bCs/>
          <w:kern w:val="0"/>
          <w:lang w:eastAsia="en-GB"/>
          <w14:ligatures w14:val="none"/>
        </w:rPr>
        <w:t>. The HNB will continue to face significant financial pressures in 2027/28.</w:t>
      </w:r>
    </w:p>
    <w:p w14:paraId="1B38D164"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p>
    <w:p w14:paraId="6DC5A053"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6.4</w:t>
      </w:r>
      <w:r w:rsidRPr="00A20F86">
        <w:rPr>
          <w:rFonts w:ascii="Arial" w:eastAsia="Times New Roman" w:hAnsi="Arial" w:cs="Times New Roman"/>
          <w:bCs/>
          <w:kern w:val="0"/>
          <w:lang w:eastAsia="en-GB"/>
          <w14:ligatures w14:val="none"/>
        </w:rPr>
        <w:tab/>
        <w:t>The Authority does not believe the composition of the High Needs National Funding Formula funds the increased demand appropriately. It is to be noted that the High Needs Funding formula was paused for 2026/27 and a consequence the High Needs Block allocation for Essex did not increase for the current year despite continued growth in EHCP’s. Furthermore, the National Funding Formula also fails to recognise the interaction between the SB and the HNB. There needs to be sufficient funding for all funding blocks which would prevent the need to move funding between blocks.</w:t>
      </w:r>
    </w:p>
    <w:p w14:paraId="51A48D6F"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p>
    <w:p w14:paraId="30D2A9C7"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6.5</w:t>
      </w:r>
      <w:r w:rsidRPr="00A20F86">
        <w:rPr>
          <w:rFonts w:ascii="Arial" w:eastAsia="Times New Roman" w:hAnsi="Arial" w:cs="Times New Roman"/>
          <w:bCs/>
          <w:kern w:val="0"/>
          <w:lang w:eastAsia="en-GB"/>
          <w14:ligatures w14:val="none"/>
        </w:rPr>
        <w:tab/>
        <w:t>As is current practice, the Authority will continue to work with local MPs, the Local Government Association, the Chartered Institute of Public Finance and Accountancy, the Department of Housing and Local Government and the Department of Education to lobby the Treasury for additional funding for the HNB.</w:t>
      </w:r>
    </w:p>
    <w:p w14:paraId="1CC7F197"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p>
    <w:p w14:paraId="3D8BED78"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6.6</w:t>
      </w:r>
      <w:r w:rsidRPr="00A20F86">
        <w:rPr>
          <w:rFonts w:ascii="Arial" w:eastAsia="Times New Roman" w:hAnsi="Arial" w:cs="Times New Roman"/>
          <w:bCs/>
          <w:kern w:val="0"/>
          <w:lang w:eastAsia="en-GB"/>
          <w14:ligatures w14:val="none"/>
        </w:rPr>
        <w:tab/>
        <w:t>The Authority is part of f40, a local authority campaign group set up by the lowest funded councils which was established to campaign on fairer funding for the lowest funding authorities. The group also campaigns for additional school and high needs funding and is lobbying for major reform and investment in SEND. There are 44 local authorities within the group.</w:t>
      </w:r>
    </w:p>
    <w:p w14:paraId="3C21F69A"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p>
    <w:p w14:paraId="7DFE3BE5"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6.7</w:t>
      </w:r>
      <w:r w:rsidRPr="00A20F86">
        <w:rPr>
          <w:rFonts w:ascii="Arial" w:eastAsia="Times New Roman" w:hAnsi="Arial" w:cs="Times New Roman"/>
          <w:bCs/>
          <w:kern w:val="0"/>
          <w:lang w:eastAsia="en-GB"/>
          <w14:ligatures w14:val="none"/>
        </w:rPr>
        <w:tab/>
        <w:t xml:space="preserve">Benchmarking information available through the f40 group confirms that Essex is ranked </w:t>
      </w:r>
      <w:r w:rsidRPr="00A20F86">
        <w:rPr>
          <w:rFonts w:ascii="Arial" w:eastAsia="Times New Roman" w:hAnsi="Arial" w:cs="Times New Roman"/>
          <w:b/>
          <w:kern w:val="0"/>
          <w:lang w:eastAsia="en-GB"/>
          <w14:ligatures w14:val="none"/>
        </w:rPr>
        <w:t>122 out 151 local authorities</w:t>
      </w:r>
      <w:r w:rsidRPr="00A20F86">
        <w:rPr>
          <w:rFonts w:ascii="Arial" w:eastAsia="Times New Roman" w:hAnsi="Arial" w:cs="Times New Roman"/>
          <w:bCs/>
          <w:kern w:val="0"/>
          <w:lang w:eastAsia="en-GB"/>
          <w14:ligatures w14:val="none"/>
        </w:rPr>
        <w:t xml:space="preserve"> in terms of its high needs funding per pupil. Without fundamental change to the funding formula this statistic is unlikely to change.</w:t>
      </w:r>
    </w:p>
    <w:p w14:paraId="1D4CCB1C"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p>
    <w:p w14:paraId="2618C205"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6.8</w:t>
      </w:r>
      <w:r w:rsidRPr="00A20F86">
        <w:rPr>
          <w:rFonts w:ascii="Arial" w:eastAsia="Times New Roman" w:hAnsi="Arial" w:cs="Times New Roman"/>
          <w:bCs/>
          <w:kern w:val="0"/>
          <w:lang w:eastAsia="en-GB"/>
          <w14:ligatures w14:val="none"/>
        </w:rPr>
        <w:tab/>
        <w:t xml:space="preserve">In 2026/27 </w:t>
      </w:r>
      <w:r w:rsidRPr="00A20F86">
        <w:rPr>
          <w:rFonts w:ascii="Arial" w:eastAsia="Times New Roman" w:hAnsi="Arial" w:cs="Times New Roman"/>
          <w:b/>
          <w:kern w:val="0"/>
          <w:lang w:eastAsia="en-GB"/>
          <w14:ligatures w14:val="none"/>
        </w:rPr>
        <w:t>£236.6m</w:t>
      </w:r>
      <w:r w:rsidRPr="00A20F86">
        <w:rPr>
          <w:rFonts w:ascii="Arial" w:eastAsia="Times New Roman" w:hAnsi="Arial" w:cs="Times New Roman"/>
          <w:bCs/>
          <w:kern w:val="0"/>
          <w:lang w:eastAsia="en-GB"/>
          <w14:ligatures w14:val="none"/>
        </w:rPr>
        <w:t xml:space="preserve"> of DSG High Needs Funding post-recoupment and a further </w:t>
      </w:r>
      <w:r w:rsidRPr="00A20F86">
        <w:rPr>
          <w:rFonts w:ascii="Arial" w:eastAsia="Times New Roman" w:hAnsi="Arial" w:cs="Times New Roman"/>
          <w:b/>
          <w:kern w:val="0"/>
          <w:lang w:eastAsia="en-GB"/>
          <w14:ligatures w14:val="none"/>
        </w:rPr>
        <w:t>£13.1m</w:t>
      </w:r>
      <w:r w:rsidRPr="00A20F86">
        <w:rPr>
          <w:rFonts w:ascii="Arial" w:eastAsia="Times New Roman" w:hAnsi="Arial" w:cs="Times New Roman"/>
          <w:bCs/>
          <w:kern w:val="0"/>
          <w:lang w:eastAsia="en-GB"/>
          <w14:ligatures w14:val="none"/>
        </w:rPr>
        <w:t xml:space="preserve"> transfer from the Schools Block is available to fund High Needs. </w:t>
      </w:r>
      <w:r w:rsidRPr="00A20F86">
        <w:rPr>
          <w:rFonts w:ascii="Arial" w:eastAsia="Times New Roman" w:hAnsi="Arial" w:cs="Times New Roman"/>
          <w:b/>
          <w:kern w:val="0"/>
          <w:lang w:eastAsia="en-GB"/>
          <w14:ligatures w14:val="none"/>
        </w:rPr>
        <w:t>Chart 1</w:t>
      </w:r>
      <w:r w:rsidRPr="00A20F86">
        <w:rPr>
          <w:rFonts w:ascii="Arial" w:eastAsia="Times New Roman" w:hAnsi="Arial" w:cs="Times New Roman"/>
          <w:bCs/>
          <w:kern w:val="0"/>
          <w:lang w:eastAsia="en-GB"/>
          <w14:ligatures w14:val="none"/>
        </w:rPr>
        <w:t xml:space="preserve"> shows how this funded is to be allocated in 2026/27.</w:t>
      </w:r>
      <w:r w:rsidRPr="00A20F86">
        <w:rPr>
          <w:rFonts w:ascii="Arial" w:eastAsia="Times New Roman" w:hAnsi="Arial" w:cs="Times New Roman"/>
          <w:bCs/>
          <w:kern w:val="0"/>
          <w:lang w:eastAsia="en-GB"/>
          <w14:ligatures w14:val="none"/>
        </w:rPr>
        <w:br/>
      </w:r>
    </w:p>
    <w:p w14:paraId="1ED81348" w14:textId="77777777" w:rsidR="00A20F86" w:rsidRPr="00A20F86" w:rsidRDefault="00A20F86" w:rsidP="00A20F86">
      <w:pPr>
        <w:spacing w:after="0" w:line="240" w:lineRule="auto"/>
        <w:jc w:val="center"/>
        <w:rPr>
          <w:rFonts w:ascii="Arial" w:eastAsia="Times New Roman" w:hAnsi="Arial" w:cs="Times New Roman"/>
          <w:bCs/>
          <w:kern w:val="0"/>
          <w:lang w:eastAsia="en-GB"/>
          <w14:ligatures w14:val="none"/>
        </w:rPr>
      </w:pPr>
      <w:r w:rsidRPr="00A20F86">
        <w:rPr>
          <w:rFonts w:ascii="Arial" w:eastAsia="Times New Roman" w:hAnsi="Arial" w:cs="Times New Roman"/>
          <w:bCs/>
          <w:noProof/>
          <w:kern w:val="0"/>
          <w:lang w:eastAsia="en-GB"/>
          <w14:ligatures w14:val="none"/>
        </w:rPr>
        <w:lastRenderedPageBreak/>
        <w:drawing>
          <wp:inline distT="0" distB="0" distL="0" distR="0" wp14:anchorId="5DE03607" wp14:editId="7D859098">
            <wp:extent cx="3554233" cy="3531002"/>
            <wp:effectExtent l="0" t="0" r="8255" b="0"/>
            <wp:docPr id="3368966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96668" name="Picture 1">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66974" cy="3543659"/>
                    </a:xfrm>
                    <a:prstGeom prst="rect">
                      <a:avLst/>
                    </a:prstGeom>
                    <a:noFill/>
                  </pic:spPr>
                </pic:pic>
              </a:graphicData>
            </a:graphic>
          </wp:inline>
        </w:drawing>
      </w:r>
    </w:p>
    <w:p w14:paraId="62688659" w14:textId="77777777" w:rsidR="00A20F86" w:rsidRPr="00A20F86" w:rsidRDefault="00A20F86" w:rsidP="00A20F86">
      <w:pPr>
        <w:spacing w:after="0" w:line="240" w:lineRule="auto"/>
        <w:jc w:val="center"/>
        <w:rPr>
          <w:rFonts w:ascii="Arial" w:eastAsia="Times New Roman" w:hAnsi="Arial" w:cs="Times New Roman"/>
          <w:bCs/>
          <w:kern w:val="0"/>
          <w:lang w:eastAsia="en-GB"/>
          <w14:ligatures w14:val="none"/>
        </w:rPr>
      </w:pPr>
    </w:p>
    <w:p w14:paraId="5EF6F253" w14:textId="77777777" w:rsidR="00A20F86" w:rsidRPr="00A20F86" w:rsidRDefault="00A20F86" w:rsidP="00A20F86">
      <w:pPr>
        <w:spacing w:after="0" w:line="240" w:lineRule="auto"/>
        <w:ind w:left="567" w:hanging="564"/>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 xml:space="preserve">6.9 </w:t>
      </w:r>
      <w:r w:rsidRPr="00A20F86">
        <w:rPr>
          <w:rFonts w:ascii="Arial" w:eastAsia="Times New Roman" w:hAnsi="Arial" w:cs="Times New Roman"/>
          <w:kern w:val="0"/>
          <w:lang w:eastAsia="en-GB"/>
          <w14:ligatures w14:val="none"/>
        </w:rPr>
        <w:tab/>
        <w:t>There are cost increases across the HNB however, significant increases continue in providing independent school provision and Individual Packages of Educational Support (IPES) that supports pupils with SEND and pupils excluded from school. These costs now account for 30% of the total cost of the HNB (</w:t>
      </w:r>
      <w:r w:rsidRPr="00A20F86">
        <w:rPr>
          <w:rFonts w:ascii="Arial" w:eastAsia="Times New Roman" w:hAnsi="Arial" w:cs="Times New Roman"/>
          <w:b/>
          <w:bCs/>
          <w:kern w:val="0"/>
          <w:lang w:eastAsia="en-GB"/>
          <w14:ligatures w14:val="none"/>
        </w:rPr>
        <w:t>£92.5m</w:t>
      </w:r>
      <w:r w:rsidRPr="00A20F86">
        <w:rPr>
          <w:rFonts w:ascii="Arial" w:eastAsia="Times New Roman" w:hAnsi="Arial" w:cs="Times New Roman"/>
          <w:kern w:val="0"/>
          <w:lang w:eastAsia="en-GB"/>
          <w14:ligatures w14:val="none"/>
        </w:rPr>
        <w:t>).</w:t>
      </w:r>
    </w:p>
    <w:p w14:paraId="42BB4CDE"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2680BE03"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34063901" w14:textId="77777777" w:rsidR="00A20F86" w:rsidRPr="00A20F86" w:rsidRDefault="00A20F86" w:rsidP="00A20F86">
      <w:pPr>
        <w:spacing w:after="0" w:line="240" w:lineRule="auto"/>
        <w:ind w:left="567" w:hanging="567"/>
        <w:rPr>
          <w:rFonts w:ascii="Arial" w:eastAsia="Times New Roman" w:hAnsi="Arial" w:cs="Times New Roman"/>
          <w:b/>
          <w:bCs/>
          <w:kern w:val="0"/>
          <w:lang w:eastAsia="en-GB"/>
          <w14:ligatures w14:val="none"/>
        </w:rPr>
      </w:pPr>
      <w:r w:rsidRPr="00A20F86">
        <w:rPr>
          <w:rFonts w:ascii="Arial" w:eastAsia="Times New Roman" w:hAnsi="Arial" w:cs="Times New Roman"/>
          <w:kern w:val="0"/>
          <w:lang w:eastAsia="en-GB"/>
          <w14:ligatures w14:val="none"/>
        </w:rPr>
        <w:t>6.10</w:t>
      </w:r>
      <w:r w:rsidRPr="00A20F86">
        <w:rPr>
          <w:rFonts w:ascii="Arial" w:eastAsia="Times New Roman" w:hAnsi="Arial" w:cs="Times New Roman"/>
          <w:kern w:val="0"/>
          <w:lang w:eastAsia="en-GB"/>
          <w14:ligatures w14:val="none"/>
        </w:rPr>
        <w:tab/>
        <w:t xml:space="preserve">This upward trend is forecast to continue into 2027/28. Key pressures and high growth budgets are shown in </w:t>
      </w:r>
      <w:r w:rsidRPr="00A20F86">
        <w:rPr>
          <w:rFonts w:ascii="Arial" w:eastAsia="Times New Roman" w:hAnsi="Arial" w:cs="Times New Roman"/>
          <w:b/>
          <w:bCs/>
          <w:kern w:val="0"/>
          <w:lang w:eastAsia="en-GB"/>
          <w14:ligatures w14:val="none"/>
        </w:rPr>
        <w:t>Table 5</w:t>
      </w:r>
    </w:p>
    <w:p w14:paraId="6DC5B2E1"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tbl>
      <w:tblPr>
        <w:tblStyle w:val="ListTable3-Accent21"/>
        <w:tblW w:w="9022" w:type="dxa"/>
        <w:tblInd w:w="607" w:type="dxa"/>
        <w:tblLook w:val="04A0" w:firstRow="1" w:lastRow="0" w:firstColumn="1" w:lastColumn="0" w:noHBand="0" w:noVBand="1"/>
      </w:tblPr>
      <w:tblGrid>
        <w:gridCol w:w="3332"/>
        <w:gridCol w:w="1155"/>
        <w:gridCol w:w="1518"/>
        <w:gridCol w:w="1510"/>
        <w:gridCol w:w="1507"/>
      </w:tblGrid>
      <w:tr w:rsidR="00A20F86" w:rsidRPr="00A20F86" w14:paraId="3A7D8CE8" w14:textId="77777777" w:rsidTr="00A20F8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332" w:type="dxa"/>
            <w:shd w:val="clear" w:color="auto" w:fill="E40037"/>
          </w:tcPr>
          <w:p w14:paraId="546C4192"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Pressures</w:t>
            </w:r>
          </w:p>
        </w:tc>
        <w:tc>
          <w:tcPr>
            <w:tcW w:w="1155" w:type="dxa"/>
            <w:shd w:val="clear" w:color="auto" w:fill="E40037"/>
          </w:tcPr>
          <w:p w14:paraId="581C642A"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2025/26 Outturn £m</w:t>
            </w:r>
          </w:p>
        </w:tc>
        <w:tc>
          <w:tcPr>
            <w:tcW w:w="1518" w:type="dxa"/>
            <w:tcBorders>
              <w:bottom w:val="single" w:sz="4" w:space="0" w:color="ED7D31"/>
            </w:tcBorders>
            <w:shd w:val="clear" w:color="auto" w:fill="E40037"/>
          </w:tcPr>
          <w:p w14:paraId="543B8F33"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2026-27 Outturn    £m</w:t>
            </w:r>
          </w:p>
        </w:tc>
        <w:tc>
          <w:tcPr>
            <w:tcW w:w="1510" w:type="dxa"/>
            <w:shd w:val="clear" w:color="auto" w:fill="E40037"/>
          </w:tcPr>
          <w:p w14:paraId="0BF17F9B"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2027/28 Provisional Forecast £m</w:t>
            </w:r>
          </w:p>
        </w:tc>
        <w:tc>
          <w:tcPr>
            <w:tcW w:w="1507" w:type="dxa"/>
            <w:shd w:val="clear" w:color="auto" w:fill="E40037"/>
          </w:tcPr>
          <w:p w14:paraId="4AB91C3F"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Increase from 2025/26 £m</w:t>
            </w:r>
          </w:p>
        </w:tc>
      </w:tr>
      <w:tr w:rsidR="00A20F86" w:rsidRPr="00A20F86" w14:paraId="0C773E56"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2" w:type="dxa"/>
            <w:tcBorders>
              <w:right w:val="single" w:sz="4" w:space="0" w:color="E40037"/>
            </w:tcBorders>
          </w:tcPr>
          <w:p w14:paraId="7D9368F5"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 xml:space="preserve">Independent Schools </w:t>
            </w:r>
          </w:p>
        </w:tc>
        <w:tc>
          <w:tcPr>
            <w:tcW w:w="1155" w:type="dxa"/>
          </w:tcPr>
          <w:p w14:paraId="1B2E868D"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40.9</w:t>
            </w:r>
          </w:p>
        </w:tc>
        <w:tc>
          <w:tcPr>
            <w:tcW w:w="1518" w:type="dxa"/>
            <w:tcBorders>
              <w:right w:val="single" w:sz="4" w:space="0" w:color="FF0000"/>
            </w:tcBorders>
          </w:tcPr>
          <w:p w14:paraId="62EC9953"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46.7</w:t>
            </w:r>
          </w:p>
        </w:tc>
        <w:tc>
          <w:tcPr>
            <w:tcW w:w="1510" w:type="dxa"/>
            <w:tcBorders>
              <w:right w:val="single" w:sz="4" w:space="0" w:color="FF0000"/>
            </w:tcBorders>
          </w:tcPr>
          <w:p w14:paraId="29C2F7A5"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54.3</w:t>
            </w:r>
          </w:p>
        </w:tc>
        <w:tc>
          <w:tcPr>
            <w:tcW w:w="1507" w:type="dxa"/>
            <w:tcBorders>
              <w:left w:val="single" w:sz="4" w:space="0" w:color="FF0000"/>
              <w:right w:val="single" w:sz="4" w:space="0" w:color="E40037"/>
            </w:tcBorders>
          </w:tcPr>
          <w:p w14:paraId="37A33D66"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13.4</w:t>
            </w:r>
          </w:p>
        </w:tc>
      </w:tr>
      <w:tr w:rsidR="00A20F86" w:rsidRPr="00A20F86" w14:paraId="3570A5A7" w14:textId="77777777" w:rsidTr="00697A4E">
        <w:tc>
          <w:tcPr>
            <w:cnfStyle w:val="001000000000" w:firstRow="0" w:lastRow="0" w:firstColumn="1" w:lastColumn="0" w:oddVBand="0" w:evenVBand="0" w:oddHBand="0" w:evenHBand="0" w:firstRowFirstColumn="0" w:firstRowLastColumn="0" w:lastRowFirstColumn="0" w:lastRowLastColumn="0"/>
            <w:tcW w:w="3332" w:type="dxa"/>
            <w:tcBorders>
              <w:right w:val="single" w:sz="4" w:space="0" w:color="E40037"/>
            </w:tcBorders>
          </w:tcPr>
          <w:p w14:paraId="559F1945"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Top-up Funding Mainstream Schools</w:t>
            </w:r>
          </w:p>
        </w:tc>
        <w:tc>
          <w:tcPr>
            <w:tcW w:w="1155" w:type="dxa"/>
          </w:tcPr>
          <w:p w14:paraId="53995677"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59.3</w:t>
            </w:r>
          </w:p>
        </w:tc>
        <w:tc>
          <w:tcPr>
            <w:tcW w:w="1518" w:type="dxa"/>
            <w:tcBorders>
              <w:right w:val="single" w:sz="4" w:space="0" w:color="FF0000"/>
            </w:tcBorders>
          </w:tcPr>
          <w:p w14:paraId="3C96EA5F"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64.9</w:t>
            </w:r>
          </w:p>
        </w:tc>
        <w:tc>
          <w:tcPr>
            <w:tcW w:w="1510" w:type="dxa"/>
            <w:tcBorders>
              <w:right w:val="single" w:sz="4" w:space="0" w:color="FF0000"/>
            </w:tcBorders>
          </w:tcPr>
          <w:p w14:paraId="04AA21DF"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66.9</w:t>
            </w:r>
          </w:p>
        </w:tc>
        <w:tc>
          <w:tcPr>
            <w:tcW w:w="1507" w:type="dxa"/>
            <w:tcBorders>
              <w:left w:val="single" w:sz="4" w:space="0" w:color="FF0000"/>
              <w:right w:val="single" w:sz="4" w:space="0" w:color="E40037"/>
            </w:tcBorders>
          </w:tcPr>
          <w:p w14:paraId="0DE215F2"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7.6</w:t>
            </w:r>
          </w:p>
        </w:tc>
      </w:tr>
      <w:tr w:rsidR="00A20F86" w:rsidRPr="00A20F86" w14:paraId="54F00559"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2" w:type="dxa"/>
            <w:tcBorders>
              <w:right w:val="single" w:sz="4" w:space="0" w:color="E40037"/>
            </w:tcBorders>
          </w:tcPr>
          <w:p w14:paraId="3D8FCF1C"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 xml:space="preserve">Individual Packages of Education Support </w:t>
            </w:r>
          </w:p>
        </w:tc>
        <w:tc>
          <w:tcPr>
            <w:tcW w:w="1155" w:type="dxa"/>
          </w:tcPr>
          <w:p w14:paraId="51093E09"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14.0</w:t>
            </w:r>
          </w:p>
        </w:tc>
        <w:tc>
          <w:tcPr>
            <w:tcW w:w="1518" w:type="dxa"/>
            <w:tcBorders>
              <w:right w:val="single" w:sz="4" w:space="0" w:color="FF0000"/>
            </w:tcBorders>
          </w:tcPr>
          <w:p w14:paraId="6A9DC971"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21.5</w:t>
            </w:r>
          </w:p>
        </w:tc>
        <w:tc>
          <w:tcPr>
            <w:tcW w:w="1510" w:type="dxa"/>
            <w:tcBorders>
              <w:right w:val="single" w:sz="4" w:space="0" w:color="FF0000"/>
            </w:tcBorders>
          </w:tcPr>
          <w:p w14:paraId="4245DCA7"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27.3</w:t>
            </w:r>
          </w:p>
        </w:tc>
        <w:tc>
          <w:tcPr>
            <w:tcW w:w="1507" w:type="dxa"/>
            <w:tcBorders>
              <w:left w:val="single" w:sz="4" w:space="0" w:color="FF0000"/>
              <w:right w:val="single" w:sz="4" w:space="0" w:color="E40037"/>
            </w:tcBorders>
          </w:tcPr>
          <w:p w14:paraId="0D2EBC07"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13.3</w:t>
            </w:r>
          </w:p>
        </w:tc>
      </w:tr>
      <w:tr w:rsidR="00A20F86" w:rsidRPr="00A20F86" w14:paraId="5FB0E0E0" w14:textId="77777777" w:rsidTr="00697A4E">
        <w:tc>
          <w:tcPr>
            <w:cnfStyle w:val="001000000000" w:firstRow="0" w:lastRow="0" w:firstColumn="1" w:lastColumn="0" w:oddVBand="0" w:evenVBand="0" w:oddHBand="0" w:evenHBand="0" w:firstRowFirstColumn="0" w:firstRowLastColumn="0" w:lastRowFirstColumn="0" w:lastRowLastColumn="0"/>
            <w:tcW w:w="3332" w:type="dxa"/>
            <w:tcBorders>
              <w:right w:val="single" w:sz="4" w:space="0" w:color="E40037"/>
            </w:tcBorders>
          </w:tcPr>
          <w:p w14:paraId="170A1900"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 xml:space="preserve">Excluded Pupils </w:t>
            </w:r>
          </w:p>
        </w:tc>
        <w:tc>
          <w:tcPr>
            <w:tcW w:w="1155" w:type="dxa"/>
          </w:tcPr>
          <w:p w14:paraId="796DDD87"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20.9</w:t>
            </w:r>
          </w:p>
        </w:tc>
        <w:tc>
          <w:tcPr>
            <w:tcW w:w="1518" w:type="dxa"/>
            <w:tcBorders>
              <w:right w:val="single" w:sz="4" w:space="0" w:color="FF0000"/>
            </w:tcBorders>
          </w:tcPr>
          <w:p w14:paraId="06D87DA8"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24.3</w:t>
            </w:r>
          </w:p>
        </w:tc>
        <w:tc>
          <w:tcPr>
            <w:tcW w:w="1510" w:type="dxa"/>
            <w:tcBorders>
              <w:right w:val="single" w:sz="4" w:space="0" w:color="FF0000"/>
            </w:tcBorders>
          </w:tcPr>
          <w:p w14:paraId="3A594204"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25.2</w:t>
            </w:r>
          </w:p>
        </w:tc>
        <w:tc>
          <w:tcPr>
            <w:tcW w:w="1507" w:type="dxa"/>
            <w:tcBorders>
              <w:left w:val="single" w:sz="4" w:space="0" w:color="FF0000"/>
              <w:right w:val="single" w:sz="4" w:space="0" w:color="E40037"/>
            </w:tcBorders>
          </w:tcPr>
          <w:p w14:paraId="0D465ED6"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4.3</w:t>
            </w:r>
          </w:p>
        </w:tc>
      </w:tr>
    </w:tbl>
    <w:p w14:paraId="1FAFE6DD" w14:textId="77777777" w:rsidR="00A20F86" w:rsidRPr="00A20F86" w:rsidRDefault="00A20F86" w:rsidP="00A20F86">
      <w:pPr>
        <w:spacing w:after="0" w:line="240" w:lineRule="auto"/>
        <w:ind w:left="567"/>
        <w:rPr>
          <w:rFonts w:ascii="Arial" w:eastAsia="Times New Roman" w:hAnsi="Arial" w:cs="Times New Roman"/>
          <w:b/>
          <w:bCs/>
          <w:kern w:val="0"/>
          <w:lang w:eastAsia="en-GB"/>
          <w14:ligatures w14:val="none"/>
        </w:rPr>
      </w:pPr>
    </w:p>
    <w:p w14:paraId="3A387EEF" w14:textId="77777777" w:rsidR="00A20F86" w:rsidRPr="00A20F86" w:rsidRDefault="00A20F86" w:rsidP="00A20F86">
      <w:pPr>
        <w:spacing w:after="0" w:line="240" w:lineRule="auto"/>
        <w:ind w:left="567"/>
        <w:rPr>
          <w:rFonts w:ascii="Arial" w:eastAsia="Times New Roman" w:hAnsi="Arial" w:cs="Times New Roman"/>
          <w:b/>
          <w:bCs/>
          <w:kern w:val="0"/>
          <w:lang w:eastAsia="en-GB"/>
          <w14:ligatures w14:val="none"/>
        </w:rPr>
      </w:pPr>
      <w:r w:rsidRPr="00A20F86">
        <w:rPr>
          <w:rFonts w:ascii="Arial" w:eastAsia="Times New Roman" w:hAnsi="Arial" w:cs="Times New Roman"/>
          <w:b/>
          <w:bCs/>
          <w:kern w:val="0"/>
          <w:lang w:eastAsia="en-GB"/>
          <w14:ligatures w14:val="none"/>
        </w:rPr>
        <w:t>Education, Health and Care Plans</w:t>
      </w:r>
    </w:p>
    <w:p w14:paraId="246A57B7"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1EB3C67F"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6.11</w:t>
      </w:r>
      <w:r w:rsidRPr="00A20F86">
        <w:rPr>
          <w:rFonts w:ascii="Arial" w:eastAsia="Times New Roman" w:hAnsi="Arial" w:cs="Times New Roman"/>
          <w:kern w:val="0"/>
          <w:lang w:eastAsia="en-GB"/>
          <w14:ligatures w14:val="none"/>
        </w:rPr>
        <w:tab/>
        <w:t xml:space="preserve">The trend in the volume of EHCP’s is forecast to rise significantly. By the end of 2029 there will be 5,239 additional plans when compared to 2025, an increase of 25%. As the volume EHCP’s is the main driver of cost to the HNB, it is inevitable that costs will increase significantly and without continued increases in funding commensurate with the increase in need then an annual funding deficit will continue to arise. </w:t>
      </w:r>
      <w:r w:rsidRPr="00A20F86">
        <w:rPr>
          <w:rFonts w:ascii="Arial" w:eastAsia="Times New Roman" w:hAnsi="Arial" w:cs="Times New Roman"/>
          <w:b/>
          <w:bCs/>
          <w:kern w:val="0"/>
          <w:lang w:eastAsia="en-GB"/>
          <w14:ligatures w14:val="none"/>
        </w:rPr>
        <w:t xml:space="preserve">Chart 2 </w:t>
      </w:r>
      <w:r w:rsidRPr="00A20F86">
        <w:rPr>
          <w:rFonts w:ascii="Arial" w:eastAsia="Times New Roman" w:hAnsi="Arial" w:cs="Times New Roman"/>
          <w:kern w:val="0"/>
          <w:lang w:eastAsia="en-GB"/>
          <w14:ligatures w14:val="none"/>
        </w:rPr>
        <w:t>shows the increase from 2018/19 to 2025/26 and the forecast through to 2029/30.</w:t>
      </w:r>
    </w:p>
    <w:p w14:paraId="71D2C6C2" w14:textId="77777777" w:rsidR="00A20F86" w:rsidRPr="00A20F86" w:rsidRDefault="00A20F86" w:rsidP="00A20F86">
      <w:pPr>
        <w:spacing w:after="0" w:line="240" w:lineRule="auto"/>
        <w:rPr>
          <w:rFonts w:ascii="Arial" w:eastAsia="Times New Roman" w:hAnsi="Arial" w:cs="Times New Roman"/>
          <w:b/>
          <w:bCs/>
          <w:kern w:val="0"/>
          <w:lang w:eastAsia="en-GB"/>
          <w14:ligatures w14:val="none"/>
        </w:rPr>
      </w:pPr>
    </w:p>
    <w:p w14:paraId="3E1FEB66" w14:textId="77777777" w:rsidR="00A20F86" w:rsidRPr="00A20F86" w:rsidRDefault="00A20F86" w:rsidP="00A20F86">
      <w:pPr>
        <w:spacing w:after="0" w:line="240" w:lineRule="auto"/>
        <w:ind w:left="567"/>
        <w:rPr>
          <w:rFonts w:ascii="Arial" w:eastAsia="Times New Roman" w:hAnsi="Arial" w:cs="Times New Roman"/>
          <w:kern w:val="0"/>
          <w:lang w:eastAsia="en-GB"/>
          <w14:ligatures w14:val="none"/>
        </w:rPr>
      </w:pPr>
      <w:r w:rsidRPr="00A20F86">
        <w:rPr>
          <w:rFonts w:ascii="Arial" w:eastAsia="Times New Roman" w:hAnsi="Arial" w:cs="Times New Roman"/>
          <w:noProof/>
          <w:kern w:val="0"/>
          <w:lang w:eastAsia="en-GB"/>
          <w14:ligatures w14:val="none"/>
        </w:rPr>
        <w:lastRenderedPageBreak/>
        <w:drawing>
          <wp:inline distT="0" distB="0" distL="0" distR="0" wp14:anchorId="08090032" wp14:editId="5C594412">
            <wp:extent cx="4564048" cy="2758796"/>
            <wp:effectExtent l="0" t="0" r="8255" b="3810"/>
            <wp:docPr id="14505184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18486" name="Picture 1">
                      <a:extLst>
                        <a:ext uri="{C183D7F6-B498-43B3-948B-1728B52AA6E4}">
                          <adec:decorative xmlns:adec="http://schemas.microsoft.com/office/drawing/2017/decorative" val="1"/>
                        </a:ext>
                      </a:extLst>
                    </pic:cNvPr>
                    <pic:cNvPicPr/>
                  </pic:nvPicPr>
                  <pic:blipFill>
                    <a:blip r:embed="rId14"/>
                    <a:stretch>
                      <a:fillRect/>
                    </a:stretch>
                  </pic:blipFill>
                  <pic:spPr>
                    <a:xfrm>
                      <a:off x="0" y="0"/>
                      <a:ext cx="4583847" cy="2770764"/>
                    </a:xfrm>
                    <a:prstGeom prst="rect">
                      <a:avLst/>
                    </a:prstGeom>
                  </pic:spPr>
                </pic:pic>
              </a:graphicData>
            </a:graphic>
          </wp:inline>
        </w:drawing>
      </w:r>
    </w:p>
    <w:p w14:paraId="699689AF"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4F2CF26A" w14:textId="77777777" w:rsidR="00A20F86" w:rsidRPr="00A20F86" w:rsidRDefault="00A20F86" w:rsidP="00A20F86">
      <w:pPr>
        <w:spacing w:after="0" w:line="240" w:lineRule="auto"/>
        <w:ind w:left="567"/>
        <w:rPr>
          <w:rFonts w:ascii="Arial" w:eastAsia="Times New Roman" w:hAnsi="Arial" w:cs="Times New Roman"/>
          <w:b/>
          <w:bCs/>
          <w:kern w:val="0"/>
          <w:lang w:eastAsia="en-GB"/>
          <w14:ligatures w14:val="none"/>
        </w:rPr>
      </w:pPr>
      <w:r w:rsidRPr="00A20F86">
        <w:rPr>
          <w:rFonts w:ascii="Arial" w:eastAsia="Times New Roman" w:hAnsi="Arial" w:cs="Times New Roman"/>
          <w:b/>
          <w:bCs/>
          <w:kern w:val="0"/>
          <w:lang w:eastAsia="en-GB"/>
          <w14:ligatures w14:val="none"/>
        </w:rPr>
        <w:t>Independent Schools</w:t>
      </w:r>
    </w:p>
    <w:p w14:paraId="0A5C9F4F"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1E58422A"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6.12</w:t>
      </w:r>
      <w:r w:rsidRPr="00A20F86">
        <w:rPr>
          <w:rFonts w:ascii="Arial" w:eastAsia="Times New Roman" w:hAnsi="Arial" w:cs="Times New Roman"/>
          <w:kern w:val="0"/>
          <w:lang w:eastAsia="en-GB"/>
          <w14:ligatures w14:val="none"/>
        </w:rPr>
        <w:tab/>
        <w:t xml:space="preserve">To emphasise the cost pressures caused by the need for independent school placements the chart below shows a continuous upward trend in placement volume and overall cost. </w:t>
      </w:r>
    </w:p>
    <w:p w14:paraId="3AEEFC08"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7D479046"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 xml:space="preserve">6.13 </w:t>
      </w:r>
      <w:r w:rsidRPr="00A20F86">
        <w:rPr>
          <w:rFonts w:ascii="Arial" w:eastAsia="Times New Roman" w:hAnsi="Arial" w:cs="Times New Roman"/>
          <w:b/>
          <w:bCs/>
          <w:kern w:val="0"/>
          <w:lang w:eastAsia="en-GB"/>
          <w14:ligatures w14:val="none"/>
        </w:rPr>
        <w:t>Chart 3</w:t>
      </w:r>
      <w:r w:rsidRPr="00A20F86">
        <w:rPr>
          <w:rFonts w:ascii="Arial" w:eastAsia="Times New Roman" w:hAnsi="Arial" w:cs="Times New Roman"/>
          <w:kern w:val="0"/>
          <w:lang w:eastAsia="en-GB"/>
          <w14:ligatures w14:val="none"/>
        </w:rPr>
        <w:t>, Placements volumes are forecast to increase by 69% from 2021/22 levels which has led to an overall increase in the cost of provision of 82% over the same period.</w:t>
      </w:r>
    </w:p>
    <w:p w14:paraId="3D76D7AC"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133CC046" w14:textId="77777777" w:rsidR="00A20F86" w:rsidRPr="00A20F86" w:rsidRDefault="00A20F86" w:rsidP="00A20F86">
      <w:pPr>
        <w:spacing w:after="0" w:line="240" w:lineRule="auto"/>
        <w:ind w:firstLine="567"/>
        <w:rPr>
          <w:rFonts w:ascii="Arial" w:eastAsia="Times New Roman" w:hAnsi="Arial" w:cs="Times New Roman"/>
          <w:kern w:val="0"/>
          <w:lang w:eastAsia="en-GB"/>
          <w14:ligatures w14:val="none"/>
        </w:rPr>
      </w:pPr>
      <w:r w:rsidRPr="00A20F86">
        <w:rPr>
          <w:rFonts w:ascii="Arial" w:eastAsia="Times New Roman" w:hAnsi="Arial" w:cs="Times New Roman"/>
          <w:noProof/>
          <w:kern w:val="0"/>
          <w:lang w:eastAsia="en-GB"/>
          <w14:ligatures w14:val="none"/>
        </w:rPr>
        <w:drawing>
          <wp:inline distT="0" distB="0" distL="0" distR="0" wp14:anchorId="6795526F" wp14:editId="66885BBE">
            <wp:extent cx="4564303" cy="2353586"/>
            <wp:effectExtent l="0" t="0" r="8255" b="8890"/>
            <wp:docPr id="8581089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108976" name="Picture 1">
                      <a:extLst>
                        <a:ext uri="{C183D7F6-B498-43B3-948B-1728B52AA6E4}">
                          <adec:decorative xmlns:adec="http://schemas.microsoft.com/office/drawing/2017/decorative" val="1"/>
                        </a:ext>
                      </a:extLst>
                    </pic:cNvPr>
                    <pic:cNvPicPr/>
                  </pic:nvPicPr>
                  <pic:blipFill>
                    <a:blip r:embed="rId15"/>
                    <a:stretch>
                      <a:fillRect/>
                    </a:stretch>
                  </pic:blipFill>
                  <pic:spPr>
                    <a:xfrm>
                      <a:off x="0" y="0"/>
                      <a:ext cx="4583202" cy="2363331"/>
                    </a:xfrm>
                    <a:prstGeom prst="rect">
                      <a:avLst/>
                    </a:prstGeom>
                  </pic:spPr>
                </pic:pic>
              </a:graphicData>
            </a:graphic>
          </wp:inline>
        </w:drawing>
      </w:r>
    </w:p>
    <w:p w14:paraId="1CA8E84B"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16E434D4" w14:textId="77777777" w:rsidR="00A20F86" w:rsidRPr="00A20F86" w:rsidRDefault="00A20F86" w:rsidP="00A20F86">
      <w:pPr>
        <w:spacing w:after="0" w:line="240" w:lineRule="auto"/>
        <w:ind w:firstLine="567"/>
        <w:rPr>
          <w:rFonts w:ascii="Arial" w:eastAsia="Times New Roman" w:hAnsi="Arial" w:cs="Times New Roman"/>
          <w:b/>
          <w:bCs/>
          <w:kern w:val="0"/>
          <w:lang w:eastAsia="en-GB"/>
          <w14:ligatures w14:val="none"/>
        </w:rPr>
      </w:pPr>
      <w:r w:rsidRPr="00A20F86">
        <w:rPr>
          <w:rFonts w:ascii="Arial" w:eastAsia="Times New Roman" w:hAnsi="Arial" w:cs="Times New Roman"/>
          <w:b/>
          <w:bCs/>
          <w:kern w:val="0"/>
          <w:lang w:eastAsia="en-GB"/>
          <w14:ligatures w14:val="none"/>
        </w:rPr>
        <w:t>Individual Package of Education Support (IPES)</w:t>
      </w:r>
    </w:p>
    <w:p w14:paraId="4BCB699A"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559F28D0"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6.14</w:t>
      </w:r>
      <w:r w:rsidRPr="00A20F86">
        <w:rPr>
          <w:rFonts w:ascii="Arial" w:eastAsia="Times New Roman" w:hAnsi="Arial" w:cs="Times New Roman"/>
          <w:kern w:val="0"/>
          <w:lang w:eastAsia="en-GB"/>
          <w14:ligatures w14:val="none"/>
        </w:rPr>
        <w:tab/>
        <w:t xml:space="preserve">Since 2024/25 the need for this provision has increased significantly. To support children with SEN the increase from 2024/25 alone is 106% leading to an increase in cost of </w:t>
      </w:r>
      <w:r w:rsidRPr="00A20F86">
        <w:rPr>
          <w:rFonts w:ascii="Arial" w:eastAsia="Times New Roman" w:hAnsi="Arial" w:cs="Times New Roman"/>
          <w:b/>
          <w:bCs/>
          <w:kern w:val="0"/>
          <w:lang w:eastAsia="en-GB"/>
          <w14:ligatures w14:val="none"/>
        </w:rPr>
        <w:t>£7.2m</w:t>
      </w:r>
      <w:r w:rsidRPr="00A20F86">
        <w:rPr>
          <w:rFonts w:ascii="Arial" w:eastAsia="Times New Roman" w:hAnsi="Arial" w:cs="Times New Roman"/>
          <w:kern w:val="0"/>
          <w:lang w:eastAsia="en-GB"/>
          <w14:ligatures w14:val="none"/>
        </w:rPr>
        <w:t xml:space="preserve"> (92%) </w:t>
      </w:r>
      <w:proofErr w:type="spellStart"/>
      <w:r w:rsidRPr="00A20F86">
        <w:rPr>
          <w:rFonts w:ascii="Arial" w:eastAsia="Times New Roman" w:hAnsi="Arial" w:cs="Times New Roman"/>
          <w:kern w:val="0"/>
          <w:lang w:eastAsia="en-GB"/>
          <w14:ligatures w14:val="none"/>
        </w:rPr>
        <w:t>p.a</w:t>
      </w:r>
      <w:proofErr w:type="spellEnd"/>
      <w:r w:rsidRPr="00A20F86">
        <w:rPr>
          <w:rFonts w:ascii="Arial" w:eastAsia="Times New Roman" w:hAnsi="Arial" w:cs="Times New Roman"/>
          <w:kern w:val="0"/>
          <w:lang w:eastAsia="en-GB"/>
          <w14:ligatures w14:val="none"/>
        </w:rPr>
        <w:t xml:space="preserve"> over the same period. A similar increase is expected in 2027/28.</w:t>
      </w:r>
    </w:p>
    <w:p w14:paraId="55ED94AB"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166D4D8C"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kern w:val="0"/>
          <w:lang w:eastAsia="en-GB"/>
          <w14:ligatures w14:val="none"/>
        </w:rPr>
        <w:t>6.15</w:t>
      </w:r>
      <w:r w:rsidRPr="00A20F86">
        <w:rPr>
          <w:rFonts w:ascii="Arial" w:eastAsia="Times New Roman" w:hAnsi="Arial" w:cs="Times New Roman"/>
          <w:kern w:val="0"/>
          <w:lang w:eastAsia="en-GB"/>
          <w14:ligatures w14:val="none"/>
        </w:rPr>
        <w:tab/>
      </w:r>
      <w:r w:rsidRPr="00A20F86">
        <w:rPr>
          <w:rFonts w:ascii="Arial" w:eastAsia="Times New Roman" w:hAnsi="Arial" w:cs="Times New Roman"/>
          <w:b/>
          <w:kern w:val="0"/>
          <w:lang w:eastAsia="en-GB"/>
          <w14:ligatures w14:val="none"/>
        </w:rPr>
        <w:t>Chart 4</w:t>
      </w:r>
      <w:r w:rsidRPr="00A20F86">
        <w:rPr>
          <w:rFonts w:ascii="Arial" w:eastAsia="Times New Roman" w:hAnsi="Arial" w:cs="Times New Roman"/>
          <w:bCs/>
          <w:kern w:val="0"/>
          <w:lang w:eastAsia="en-GB"/>
          <w14:ligatures w14:val="none"/>
        </w:rPr>
        <w:t xml:space="preserve"> shows the forecast growth in cost for pupils with EHCPs accessing IPES provision.</w:t>
      </w:r>
    </w:p>
    <w:p w14:paraId="7A44BD23"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p>
    <w:p w14:paraId="3A18DA48" w14:textId="77777777" w:rsidR="00A20F86" w:rsidRPr="00A20F86" w:rsidRDefault="00A20F86" w:rsidP="00A20F86">
      <w:pPr>
        <w:spacing w:after="0" w:line="240" w:lineRule="auto"/>
        <w:ind w:left="567"/>
        <w:rPr>
          <w:rFonts w:ascii="Arial" w:eastAsia="Times New Roman" w:hAnsi="Arial" w:cs="Times New Roman"/>
          <w:bCs/>
          <w:kern w:val="0"/>
          <w:lang w:eastAsia="en-GB"/>
          <w14:ligatures w14:val="none"/>
        </w:rPr>
      </w:pPr>
      <w:r w:rsidRPr="00A20F86">
        <w:rPr>
          <w:rFonts w:ascii="Arial" w:eastAsia="Times New Roman" w:hAnsi="Arial" w:cs="Times New Roman"/>
          <w:bCs/>
          <w:noProof/>
          <w:kern w:val="0"/>
          <w:lang w:eastAsia="en-GB"/>
          <w14:ligatures w14:val="none"/>
        </w:rPr>
        <w:drawing>
          <wp:inline distT="0" distB="0" distL="0" distR="0" wp14:anchorId="183465B0" wp14:editId="2D2DC65D">
            <wp:extent cx="4510545" cy="2528514"/>
            <wp:effectExtent l="0" t="0" r="4445" b="5715"/>
            <wp:docPr id="14500838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83862" name="Picture 1">
                      <a:extLst>
                        <a:ext uri="{C183D7F6-B498-43B3-948B-1728B52AA6E4}">
                          <adec:decorative xmlns:adec="http://schemas.microsoft.com/office/drawing/2017/decorative" val="1"/>
                        </a:ext>
                      </a:extLst>
                    </pic:cNvPr>
                    <pic:cNvPicPr/>
                  </pic:nvPicPr>
                  <pic:blipFill>
                    <a:blip r:embed="rId16"/>
                    <a:stretch>
                      <a:fillRect/>
                    </a:stretch>
                  </pic:blipFill>
                  <pic:spPr>
                    <a:xfrm>
                      <a:off x="0" y="0"/>
                      <a:ext cx="4530670" cy="2539796"/>
                    </a:xfrm>
                    <a:prstGeom prst="rect">
                      <a:avLst/>
                    </a:prstGeom>
                  </pic:spPr>
                </pic:pic>
              </a:graphicData>
            </a:graphic>
          </wp:inline>
        </w:drawing>
      </w:r>
    </w:p>
    <w:p w14:paraId="0601DD37" w14:textId="77777777" w:rsidR="00A20F86" w:rsidRPr="00A20F86" w:rsidRDefault="00A20F86" w:rsidP="00A20F86">
      <w:pPr>
        <w:spacing w:after="0" w:line="240" w:lineRule="auto"/>
        <w:ind w:left="567"/>
        <w:rPr>
          <w:rFonts w:ascii="Arial" w:eastAsia="Times New Roman" w:hAnsi="Arial" w:cs="Times New Roman"/>
          <w:b/>
          <w:kern w:val="0"/>
          <w:lang w:eastAsia="en-GB"/>
          <w14:ligatures w14:val="none"/>
        </w:rPr>
      </w:pPr>
    </w:p>
    <w:p w14:paraId="109042A0" w14:textId="77777777" w:rsidR="00A20F86" w:rsidRPr="00A20F86" w:rsidRDefault="00A20F86" w:rsidP="00A20F86">
      <w:pPr>
        <w:spacing w:after="0" w:line="240" w:lineRule="auto"/>
        <w:ind w:left="567"/>
        <w:rPr>
          <w:rFonts w:ascii="Arial" w:eastAsia="Times New Roman" w:hAnsi="Arial" w:cs="Times New Roman"/>
          <w:b/>
          <w:kern w:val="0"/>
          <w:lang w:eastAsia="en-GB"/>
          <w14:ligatures w14:val="none"/>
        </w:rPr>
      </w:pPr>
    </w:p>
    <w:p w14:paraId="0958BE15" w14:textId="77777777" w:rsidR="00A20F86" w:rsidRPr="00A20F86" w:rsidRDefault="00A20F86" w:rsidP="00A20F86">
      <w:pPr>
        <w:spacing w:after="0" w:line="240" w:lineRule="auto"/>
        <w:ind w:left="567"/>
        <w:rPr>
          <w:rFonts w:ascii="Arial" w:eastAsia="Times New Roman" w:hAnsi="Arial" w:cs="Times New Roman"/>
          <w:b/>
          <w:kern w:val="0"/>
          <w:lang w:eastAsia="en-GB"/>
          <w14:ligatures w14:val="none"/>
        </w:rPr>
      </w:pPr>
      <w:r w:rsidRPr="00A20F86">
        <w:rPr>
          <w:rFonts w:ascii="Arial" w:eastAsia="Times New Roman" w:hAnsi="Arial" w:cs="Times New Roman"/>
          <w:b/>
          <w:kern w:val="0"/>
          <w:lang w:eastAsia="en-GB"/>
          <w14:ligatures w14:val="none"/>
        </w:rPr>
        <w:t xml:space="preserve">Previous Movements between Blocks </w:t>
      </w:r>
    </w:p>
    <w:p w14:paraId="2C80E9D2" w14:textId="77777777" w:rsidR="00A20F86" w:rsidRPr="00A20F86" w:rsidRDefault="00A20F86" w:rsidP="00A20F86">
      <w:pPr>
        <w:spacing w:after="0" w:line="240" w:lineRule="auto"/>
        <w:ind w:left="567"/>
        <w:rPr>
          <w:rFonts w:ascii="Arial" w:eastAsia="Times New Roman" w:hAnsi="Arial" w:cs="Times New Roman"/>
          <w:kern w:val="0"/>
          <w:lang w:eastAsia="en-GB"/>
          <w14:ligatures w14:val="none"/>
        </w:rPr>
      </w:pPr>
    </w:p>
    <w:p w14:paraId="6896EDFC"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6.16</w:t>
      </w:r>
      <w:r w:rsidRPr="00A20F86">
        <w:rPr>
          <w:rFonts w:ascii="Arial" w:eastAsia="Times New Roman" w:hAnsi="Arial" w:cs="Times New Roman"/>
          <w:kern w:val="0"/>
          <w:lang w:eastAsia="en-GB"/>
          <w14:ligatures w14:val="none"/>
        </w:rPr>
        <w:tab/>
      </w:r>
      <w:r w:rsidRPr="00A20F86">
        <w:rPr>
          <w:rFonts w:ascii="Arial" w:eastAsia="Times New Roman" w:hAnsi="Arial" w:cs="Times New Roman"/>
          <w:b/>
          <w:bCs/>
          <w:kern w:val="0"/>
          <w:lang w:eastAsia="en-GB"/>
          <w14:ligatures w14:val="none"/>
        </w:rPr>
        <w:t xml:space="preserve">Table 6 </w:t>
      </w:r>
      <w:r w:rsidRPr="00A20F86">
        <w:rPr>
          <w:rFonts w:ascii="Arial" w:eastAsia="Times New Roman" w:hAnsi="Arial" w:cs="Times New Roman"/>
          <w:kern w:val="0"/>
          <w:lang w:eastAsia="en-GB"/>
          <w14:ligatures w14:val="none"/>
        </w:rPr>
        <w:t>shows previous movements between blocks.</w:t>
      </w:r>
    </w:p>
    <w:p w14:paraId="0134CE71"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tbl>
      <w:tblPr>
        <w:tblStyle w:val="ListTable3-Accent21"/>
        <w:tblW w:w="0" w:type="auto"/>
        <w:tblInd w:w="607" w:type="dxa"/>
        <w:tblLook w:val="04A0" w:firstRow="1" w:lastRow="0" w:firstColumn="1" w:lastColumn="0" w:noHBand="0" w:noVBand="1"/>
      </w:tblPr>
      <w:tblGrid>
        <w:gridCol w:w="1807"/>
        <w:gridCol w:w="1764"/>
        <w:gridCol w:w="1679"/>
        <w:gridCol w:w="1507"/>
        <w:gridCol w:w="1652"/>
      </w:tblGrid>
      <w:tr w:rsidR="00A20F86" w:rsidRPr="00A20F86" w14:paraId="5456790F" w14:textId="77777777" w:rsidTr="00697A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24" w:type="dxa"/>
            <w:tcBorders>
              <w:right w:val="single" w:sz="4" w:space="0" w:color="E40037"/>
            </w:tcBorders>
            <w:shd w:val="clear" w:color="auto" w:fill="E40037"/>
          </w:tcPr>
          <w:p w14:paraId="61E07C1F" w14:textId="77777777" w:rsidR="00A20F86" w:rsidRPr="00A20F86" w:rsidRDefault="00A20F86" w:rsidP="00A20F86">
            <w:pPr>
              <w:spacing w:line="259" w:lineRule="auto"/>
              <w:rPr>
                <w:rFonts w:ascii="Arial" w:eastAsia="Calibri" w:hAnsi="Arial" w:cs="Arial"/>
                <w:szCs w:val="22"/>
              </w:rPr>
            </w:pPr>
          </w:p>
          <w:p w14:paraId="7C069E81" w14:textId="77777777" w:rsidR="00A20F86" w:rsidRPr="00A20F86" w:rsidRDefault="00A20F86" w:rsidP="00A20F86">
            <w:pPr>
              <w:spacing w:line="259" w:lineRule="auto"/>
              <w:rPr>
                <w:rFonts w:ascii="Arial" w:eastAsia="Calibri" w:hAnsi="Arial" w:cs="Arial"/>
                <w:szCs w:val="22"/>
              </w:rPr>
            </w:pPr>
          </w:p>
          <w:p w14:paraId="24FBC016" w14:textId="77777777" w:rsidR="00A20F86" w:rsidRPr="00A20F86" w:rsidRDefault="00A20F86" w:rsidP="00A20F86">
            <w:pPr>
              <w:spacing w:line="259" w:lineRule="auto"/>
              <w:rPr>
                <w:rFonts w:ascii="Arial" w:eastAsia="Calibri" w:hAnsi="Arial" w:cs="Arial"/>
                <w:szCs w:val="22"/>
              </w:rPr>
            </w:pPr>
          </w:p>
          <w:p w14:paraId="6904E455" w14:textId="77777777" w:rsidR="00A20F86" w:rsidRPr="00A20F86" w:rsidRDefault="00A20F86" w:rsidP="00A20F86">
            <w:pPr>
              <w:spacing w:line="259" w:lineRule="auto"/>
              <w:rPr>
                <w:rFonts w:ascii="Arial" w:eastAsia="Calibri" w:hAnsi="Arial" w:cs="Arial"/>
                <w:szCs w:val="22"/>
              </w:rPr>
            </w:pPr>
          </w:p>
          <w:p w14:paraId="7BB870A2"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Financial Year</w:t>
            </w:r>
          </w:p>
        </w:tc>
        <w:tc>
          <w:tcPr>
            <w:tcW w:w="1890" w:type="dxa"/>
            <w:tcBorders>
              <w:left w:val="single" w:sz="4" w:space="0" w:color="E40037"/>
              <w:right w:val="single" w:sz="4" w:space="0" w:color="E40037"/>
            </w:tcBorders>
            <w:shd w:val="clear" w:color="auto" w:fill="E40037"/>
          </w:tcPr>
          <w:p w14:paraId="6DC5FC4C"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p>
          <w:p w14:paraId="5F6CDCC7"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p>
          <w:p w14:paraId="6E5EB128"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p>
          <w:p w14:paraId="41BF36D4"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Schools Block £m</w:t>
            </w:r>
          </w:p>
        </w:tc>
        <w:tc>
          <w:tcPr>
            <w:tcW w:w="1820" w:type="dxa"/>
            <w:tcBorders>
              <w:left w:val="single" w:sz="4" w:space="0" w:color="E40037"/>
              <w:right w:val="single" w:sz="4" w:space="0" w:color="E40037"/>
            </w:tcBorders>
            <w:shd w:val="clear" w:color="auto" w:fill="E40037"/>
          </w:tcPr>
          <w:p w14:paraId="5FA7410D"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p>
          <w:p w14:paraId="2E7767FD"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p>
          <w:p w14:paraId="35DD2DB3"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High Needs Block</w:t>
            </w:r>
          </w:p>
          <w:p w14:paraId="012F0F3D"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£m</w:t>
            </w:r>
          </w:p>
        </w:tc>
        <w:tc>
          <w:tcPr>
            <w:tcW w:w="1584" w:type="dxa"/>
            <w:tcBorders>
              <w:left w:val="single" w:sz="4" w:space="0" w:color="E40037"/>
              <w:right w:val="single" w:sz="4" w:space="0" w:color="E40037"/>
            </w:tcBorders>
            <w:shd w:val="clear" w:color="auto" w:fill="E40037"/>
          </w:tcPr>
          <w:p w14:paraId="05683729"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Central School Services Block</w:t>
            </w:r>
          </w:p>
          <w:p w14:paraId="0A18C284"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£m</w:t>
            </w:r>
          </w:p>
        </w:tc>
        <w:tc>
          <w:tcPr>
            <w:tcW w:w="1798" w:type="dxa"/>
            <w:tcBorders>
              <w:left w:val="single" w:sz="4" w:space="0" w:color="E40037"/>
              <w:right w:val="single" w:sz="4" w:space="0" w:color="E40037"/>
            </w:tcBorders>
            <w:shd w:val="clear" w:color="auto" w:fill="E40037"/>
          </w:tcPr>
          <w:p w14:paraId="72EAFDC7"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p>
          <w:p w14:paraId="3C16A23A"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p>
          <w:p w14:paraId="4B5A5C84"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Early Years Block</w:t>
            </w:r>
          </w:p>
          <w:p w14:paraId="649C1ECD"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£m</w:t>
            </w:r>
          </w:p>
        </w:tc>
      </w:tr>
      <w:tr w:rsidR="00A20F86" w:rsidRPr="00A20F86" w14:paraId="3A65499A"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4" w:type="dxa"/>
            <w:tcBorders>
              <w:left w:val="single" w:sz="4" w:space="0" w:color="E40037"/>
              <w:bottom w:val="single" w:sz="4" w:space="0" w:color="E40037"/>
              <w:right w:val="single" w:sz="4" w:space="0" w:color="E40037"/>
            </w:tcBorders>
          </w:tcPr>
          <w:p w14:paraId="146F2572"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2015/16</w:t>
            </w:r>
          </w:p>
        </w:tc>
        <w:tc>
          <w:tcPr>
            <w:tcW w:w="1890" w:type="dxa"/>
            <w:tcBorders>
              <w:left w:val="single" w:sz="4" w:space="0" w:color="E40037"/>
              <w:bottom w:val="single" w:sz="4" w:space="0" w:color="E40037"/>
              <w:right w:val="single" w:sz="4" w:space="0" w:color="E40037"/>
            </w:tcBorders>
          </w:tcPr>
          <w:p w14:paraId="06FC3699"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(1.6)</w:t>
            </w:r>
          </w:p>
        </w:tc>
        <w:tc>
          <w:tcPr>
            <w:tcW w:w="1820" w:type="dxa"/>
            <w:tcBorders>
              <w:left w:val="single" w:sz="4" w:space="0" w:color="E40037"/>
              <w:bottom w:val="single" w:sz="4" w:space="0" w:color="E40037"/>
              <w:right w:val="single" w:sz="4" w:space="0" w:color="E40037"/>
            </w:tcBorders>
          </w:tcPr>
          <w:p w14:paraId="14C73731"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1.6</w:t>
            </w:r>
          </w:p>
        </w:tc>
        <w:tc>
          <w:tcPr>
            <w:tcW w:w="1584" w:type="dxa"/>
            <w:tcBorders>
              <w:left w:val="single" w:sz="4" w:space="0" w:color="E40037"/>
              <w:bottom w:val="single" w:sz="4" w:space="0" w:color="E40037"/>
              <w:right w:val="single" w:sz="4" w:space="0" w:color="E40037"/>
            </w:tcBorders>
          </w:tcPr>
          <w:p w14:paraId="399D21B3"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c>
          <w:tcPr>
            <w:tcW w:w="1798" w:type="dxa"/>
            <w:tcBorders>
              <w:left w:val="single" w:sz="4" w:space="0" w:color="E40037"/>
              <w:bottom w:val="single" w:sz="4" w:space="0" w:color="E40037"/>
              <w:right w:val="single" w:sz="4" w:space="0" w:color="E40037"/>
            </w:tcBorders>
          </w:tcPr>
          <w:p w14:paraId="5C22B421"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r>
      <w:tr w:rsidR="00A20F86" w:rsidRPr="00A20F86" w14:paraId="43972915" w14:textId="77777777" w:rsidTr="00697A4E">
        <w:tc>
          <w:tcPr>
            <w:cnfStyle w:val="001000000000" w:firstRow="0" w:lastRow="0" w:firstColumn="1" w:lastColumn="0" w:oddVBand="0" w:evenVBand="0" w:oddHBand="0" w:evenHBand="0" w:firstRowFirstColumn="0" w:firstRowLastColumn="0" w:lastRowFirstColumn="0" w:lastRowLastColumn="0"/>
            <w:tcW w:w="1924" w:type="dxa"/>
            <w:tcBorders>
              <w:top w:val="single" w:sz="4" w:space="0" w:color="E40037"/>
              <w:left w:val="single" w:sz="4" w:space="0" w:color="E40037"/>
              <w:bottom w:val="single" w:sz="4" w:space="0" w:color="E40037"/>
              <w:right w:val="single" w:sz="4" w:space="0" w:color="E40037"/>
            </w:tcBorders>
          </w:tcPr>
          <w:p w14:paraId="5AC57D33"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2016/17</w:t>
            </w:r>
          </w:p>
        </w:tc>
        <w:tc>
          <w:tcPr>
            <w:tcW w:w="1890" w:type="dxa"/>
            <w:tcBorders>
              <w:top w:val="single" w:sz="4" w:space="0" w:color="E40037"/>
              <w:left w:val="single" w:sz="4" w:space="0" w:color="E40037"/>
              <w:bottom w:val="single" w:sz="4" w:space="0" w:color="E40037"/>
              <w:right w:val="single" w:sz="4" w:space="0" w:color="E40037"/>
            </w:tcBorders>
          </w:tcPr>
          <w:p w14:paraId="6560E8B7"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(4.6)</w:t>
            </w:r>
          </w:p>
        </w:tc>
        <w:tc>
          <w:tcPr>
            <w:tcW w:w="1820" w:type="dxa"/>
            <w:tcBorders>
              <w:top w:val="single" w:sz="4" w:space="0" w:color="E40037"/>
              <w:left w:val="single" w:sz="4" w:space="0" w:color="E40037"/>
              <w:bottom w:val="single" w:sz="4" w:space="0" w:color="E40037"/>
              <w:right w:val="single" w:sz="4" w:space="0" w:color="E40037"/>
            </w:tcBorders>
          </w:tcPr>
          <w:p w14:paraId="51CC907E"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1.6</w:t>
            </w:r>
          </w:p>
        </w:tc>
        <w:tc>
          <w:tcPr>
            <w:tcW w:w="1584" w:type="dxa"/>
            <w:tcBorders>
              <w:top w:val="single" w:sz="4" w:space="0" w:color="E40037"/>
              <w:left w:val="single" w:sz="4" w:space="0" w:color="E40037"/>
              <w:bottom w:val="single" w:sz="4" w:space="0" w:color="E40037"/>
              <w:right w:val="single" w:sz="4" w:space="0" w:color="E40037"/>
            </w:tcBorders>
          </w:tcPr>
          <w:p w14:paraId="2FD00DB6"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c>
          <w:tcPr>
            <w:tcW w:w="1798" w:type="dxa"/>
            <w:tcBorders>
              <w:top w:val="single" w:sz="4" w:space="0" w:color="E40037"/>
              <w:left w:val="single" w:sz="4" w:space="0" w:color="E40037"/>
              <w:bottom w:val="single" w:sz="4" w:space="0" w:color="E40037"/>
              <w:right w:val="single" w:sz="4" w:space="0" w:color="E40037"/>
            </w:tcBorders>
          </w:tcPr>
          <w:p w14:paraId="5BAAD416"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3.0</w:t>
            </w:r>
          </w:p>
        </w:tc>
      </w:tr>
      <w:tr w:rsidR="00A20F86" w:rsidRPr="00A20F86" w14:paraId="406CAC81"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4" w:type="dxa"/>
            <w:tcBorders>
              <w:top w:val="single" w:sz="4" w:space="0" w:color="E40037"/>
              <w:left w:val="single" w:sz="4" w:space="0" w:color="E40037"/>
              <w:bottom w:val="single" w:sz="4" w:space="0" w:color="E40037"/>
              <w:right w:val="single" w:sz="4" w:space="0" w:color="E40037"/>
            </w:tcBorders>
          </w:tcPr>
          <w:p w14:paraId="190FE359"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2017/18</w:t>
            </w:r>
          </w:p>
        </w:tc>
        <w:tc>
          <w:tcPr>
            <w:tcW w:w="1890" w:type="dxa"/>
            <w:tcBorders>
              <w:top w:val="single" w:sz="4" w:space="0" w:color="E40037"/>
              <w:left w:val="single" w:sz="4" w:space="0" w:color="E40037"/>
              <w:bottom w:val="single" w:sz="4" w:space="0" w:color="E40037"/>
              <w:right w:val="single" w:sz="4" w:space="0" w:color="E40037"/>
            </w:tcBorders>
          </w:tcPr>
          <w:p w14:paraId="11918335"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(1.6)</w:t>
            </w:r>
          </w:p>
        </w:tc>
        <w:tc>
          <w:tcPr>
            <w:tcW w:w="1820" w:type="dxa"/>
            <w:tcBorders>
              <w:top w:val="single" w:sz="4" w:space="0" w:color="E40037"/>
              <w:left w:val="single" w:sz="4" w:space="0" w:color="E40037"/>
              <w:bottom w:val="single" w:sz="4" w:space="0" w:color="E40037"/>
              <w:right w:val="single" w:sz="4" w:space="0" w:color="E40037"/>
            </w:tcBorders>
          </w:tcPr>
          <w:p w14:paraId="166352BC"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1.6</w:t>
            </w:r>
          </w:p>
        </w:tc>
        <w:tc>
          <w:tcPr>
            <w:tcW w:w="1584" w:type="dxa"/>
            <w:tcBorders>
              <w:top w:val="single" w:sz="4" w:space="0" w:color="E40037"/>
              <w:left w:val="single" w:sz="4" w:space="0" w:color="E40037"/>
              <w:bottom w:val="single" w:sz="4" w:space="0" w:color="E40037"/>
              <w:right w:val="single" w:sz="4" w:space="0" w:color="E40037"/>
            </w:tcBorders>
          </w:tcPr>
          <w:p w14:paraId="7B69BEE6"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c>
          <w:tcPr>
            <w:tcW w:w="1798" w:type="dxa"/>
            <w:tcBorders>
              <w:top w:val="single" w:sz="4" w:space="0" w:color="E40037"/>
              <w:left w:val="single" w:sz="4" w:space="0" w:color="E40037"/>
              <w:bottom w:val="single" w:sz="4" w:space="0" w:color="E40037"/>
              <w:right w:val="single" w:sz="4" w:space="0" w:color="E40037"/>
            </w:tcBorders>
          </w:tcPr>
          <w:p w14:paraId="22CD7E22"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r>
      <w:tr w:rsidR="00A20F86" w:rsidRPr="00A20F86" w14:paraId="08E8BCF0" w14:textId="77777777" w:rsidTr="00697A4E">
        <w:tc>
          <w:tcPr>
            <w:cnfStyle w:val="001000000000" w:firstRow="0" w:lastRow="0" w:firstColumn="1" w:lastColumn="0" w:oddVBand="0" w:evenVBand="0" w:oddHBand="0" w:evenHBand="0" w:firstRowFirstColumn="0" w:firstRowLastColumn="0" w:lastRowFirstColumn="0" w:lastRowLastColumn="0"/>
            <w:tcW w:w="1924" w:type="dxa"/>
            <w:tcBorders>
              <w:left w:val="single" w:sz="4" w:space="0" w:color="E40037"/>
              <w:bottom w:val="single" w:sz="4" w:space="0" w:color="E40037"/>
              <w:right w:val="single" w:sz="4" w:space="0" w:color="E40037"/>
            </w:tcBorders>
          </w:tcPr>
          <w:p w14:paraId="242295A6"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2018/19</w:t>
            </w:r>
          </w:p>
        </w:tc>
        <w:tc>
          <w:tcPr>
            <w:tcW w:w="1890" w:type="dxa"/>
            <w:tcBorders>
              <w:left w:val="single" w:sz="4" w:space="0" w:color="E40037"/>
              <w:bottom w:val="single" w:sz="4" w:space="0" w:color="E40037"/>
              <w:right w:val="single" w:sz="4" w:space="0" w:color="E40037"/>
            </w:tcBorders>
          </w:tcPr>
          <w:p w14:paraId="5DD3D167"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c>
          <w:tcPr>
            <w:tcW w:w="1820" w:type="dxa"/>
            <w:tcBorders>
              <w:left w:val="single" w:sz="4" w:space="0" w:color="E40037"/>
              <w:bottom w:val="single" w:sz="4" w:space="0" w:color="E40037"/>
              <w:right w:val="single" w:sz="4" w:space="0" w:color="E40037"/>
            </w:tcBorders>
          </w:tcPr>
          <w:p w14:paraId="22153CEE"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c>
          <w:tcPr>
            <w:tcW w:w="1584" w:type="dxa"/>
            <w:tcBorders>
              <w:left w:val="single" w:sz="4" w:space="0" w:color="E40037"/>
              <w:bottom w:val="single" w:sz="4" w:space="0" w:color="E40037"/>
              <w:right w:val="single" w:sz="4" w:space="0" w:color="E40037"/>
            </w:tcBorders>
          </w:tcPr>
          <w:p w14:paraId="23CF2824"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c>
          <w:tcPr>
            <w:tcW w:w="1798" w:type="dxa"/>
            <w:tcBorders>
              <w:left w:val="single" w:sz="4" w:space="0" w:color="E40037"/>
              <w:bottom w:val="single" w:sz="4" w:space="0" w:color="E40037"/>
              <w:right w:val="single" w:sz="4" w:space="0" w:color="E40037"/>
            </w:tcBorders>
          </w:tcPr>
          <w:p w14:paraId="5D43B0F6"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r>
      <w:tr w:rsidR="00A20F86" w:rsidRPr="00A20F86" w14:paraId="1A711937"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4" w:type="dxa"/>
            <w:tcBorders>
              <w:top w:val="single" w:sz="4" w:space="0" w:color="E40037"/>
              <w:left w:val="single" w:sz="4" w:space="0" w:color="E40037"/>
              <w:bottom w:val="single" w:sz="4" w:space="0" w:color="E40037"/>
              <w:right w:val="single" w:sz="4" w:space="0" w:color="E40037"/>
            </w:tcBorders>
          </w:tcPr>
          <w:p w14:paraId="63A5086B"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2019/20</w:t>
            </w:r>
          </w:p>
        </w:tc>
        <w:tc>
          <w:tcPr>
            <w:tcW w:w="1890" w:type="dxa"/>
            <w:tcBorders>
              <w:top w:val="single" w:sz="4" w:space="0" w:color="E40037"/>
              <w:left w:val="single" w:sz="4" w:space="0" w:color="E40037"/>
              <w:bottom w:val="single" w:sz="4" w:space="0" w:color="E40037"/>
              <w:right w:val="single" w:sz="4" w:space="0" w:color="E40037"/>
            </w:tcBorders>
          </w:tcPr>
          <w:p w14:paraId="4D40EAC7"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(4.3)</w:t>
            </w:r>
          </w:p>
        </w:tc>
        <w:tc>
          <w:tcPr>
            <w:tcW w:w="1820" w:type="dxa"/>
            <w:tcBorders>
              <w:top w:val="single" w:sz="4" w:space="0" w:color="E40037"/>
              <w:left w:val="single" w:sz="4" w:space="0" w:color="E40037"/>
              <w:bottom w:val="single" w:sz="4" w:space="0" w:color="E40037"/>
              <w:right w:val="single" w:sz="4" w:space="0" w:color="E40037"/>
            </w:tcBorders>
          </w:tcPr>
          <w:p w14:paraId="4E7BC270"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4.3</w:t>
            </w:r>
          </w:p>
        </w:tc>
        <w:tc>
          <w:tcPr>
            <w:tcW w:w="1584" w:type="dxa"/>
            <w:tcBorders>
              <w:top w:val="single" w:sz="4" w:space="0" w:color="E40037"/>
              <w:left w:val="single" w:sz="4" w:space="0" w:color="E40037"/>
              <w:bottom w:val="single" w:sz="4" w:space="0" w:color="E40037"/>
              <w:right w:val="single" w:sz="4" w:space="0" w:color="E40037"/>
            </w:tcBorders>
          </w:tcPr>
          <w:p w14:paraId="7CDF1CF9"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c>
          <w:tcPr>
            <w:tcW w:w="1798" w:type="dxa"/>
            <w:tcBorders>
              <w:top w:val="single" w:sz="4" w:space="0" w:color="E40037"/>
              <w:left w:val="single" w:sz="4" w:space="0" w:color="E40037"/>
              <w:bottom w:val="single" w:sz="4" w:space="0" w:color="E40037"/>
              <w:right w:val="single" w:sz="4" w:space="0" w:color="E40037"/>
            </w:tcBorders>
          </w:tcPr>
          <w:p w14:paraId="166777F1"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r>
      <w:tr w:rsidR="00A20F86" w:rsidRPr="00A20F86" w14:paraId="7E1CBA34" w14:textId="77777777" w:rsidTr="00697A4E">
        <w:tc>
          <w:tcPr>
            <w:cnfStyle w:val="001000000000" w:firstRow="0" w:lastRow="0" w:firstColumn="1" w:lastColumn="0" w:oddVBand="0" w:evenVBand="0" w:oddHBand="0" w:evenHBand="0" w:firstRowFirstColumn="0" w:firstRowLastColumn="0" w:lastRowFirstColumn="0" w:lastRowLastColumn="0"/>
            <w:tcW w:w="1924" w:type="dxa"/>
            <w:tcBorders>
              <w:top w:val="single" w:sz="4" w:space="0" w:color="E40037"/>
              <w:left w:val="single" w:sz="4" w:space="0" w:color="E40037"/>
              <w:bottom w:val="single" w:sz="4" w:space="0" w:color="E40037"/>
              <w:right w:val="single" w:sz="4" w:space="0" w:color="E40037"/>
            </w:tcBorders>
          </w:tcPr>
          <w:p w14:paraId="7FE12373"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2025/26</w:t>
            </w:r>
          </w:p>
        </w:tc>
        <w:tc>
          <w:tcPr>
            <w:tcW w:w="1890" w:type="dxa"/>
            <w:tcBorders>
              <w:top w:val="single" w:sz="4" w:space="0" w:color="E40037"/>
              <w:left w:val="single" w:sz="4" w:space="0" w:color="E40037"/>
              <w:bottom w:val="single" w:sz="4" w:space="0" w:color="E40037"/>
              <w:right w:val="single" w:sz="4" w:space="0" w:color="E40037"/>
            </w:tcBorders>
          </w:tcPr>
          <w:p w14:paraId="7B19F620"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(12.5)</w:t>
            </w:r>
          </w:p>
        </w:tc>
        <w:tc>
          <w:tcPr>
            <w:tcW w:w="1820" w:type="dxa"/>
            <w:tcBorders>
              <w:top w:val="single" w:sz="4" w:space="0" w:color="E40037"/>
              <w:left w:val="single" w:sz="4" w:space="0" w:color="E40037"/>
              <w:bottom w:val="single" w:sz="4" w:space="0" w:color="E40037"/>
              <w:right w:val="single" w:sz="4" w:space="0" w:color="E40037"/>
            </w:tcBorders>
          </w:tcPr>
          <w:p w14:paraId="2E041380"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13.5</w:t>
            </w:r>
          </w:p>
        </w:tc>
        <w:tc>
          <w:tcPr>
            <w:tcW w:w="1584" w:type="dxa"/>
            <w:tcBorders>
              <w:top w:val="single" w:sz="4" w:space="0" w:color="E40037"/>
              <w:left w:val="single" w:sz="4" w:space="0" w:color="E40037"/>
              <w:bottom w:val="single" w:sz="4" w:space="0" w:color="E40037"/>
              <w:right w:val="single" w:sz="4" w:space="0" w:color="E40037"/>
            </w:tcBorders>
          </w:tcPr>
          <w:p w14:paraId="6D6CE24D"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(1.0)</w:t>
            </w:r>
          </w:p>
        </w:tc>
        <w:tc>
          <w:tcPr>
            <w:tcW w:w="1798" w:type="dxa"/>
            <w:tcBorders>
              <w:top w:val="single" w:sz="4" w:space="0" w:color="E40037"/>
              <w:left w:val="single" w:sz="4" w:space="0" w:color="E40037"/>
              <w:bottom w:val="single" w:sz="4" w:space="0" w:color="E40037"/>
              <w:right w:val="single" w:sz="4" w:space="0" w:color="E40037"/>
            </w:tcBorders>
          </w:tcPr>
          <w:p w14:paraId="053284C9"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r>
      <w:tr w:rsidR="00A20F86" w:rsidRPr="00A20F86" w14:paraId="65DB300E"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4" w:type="dxa"/>
            <w:tcBorders>
              <w:top w:val="single" w:sz="4" w:space="0" w:color="E40037"/>
              <w:left w:val="single" w:sz="4" w:space="0" w:color="E40037"/>
              <w:bottom w:val="single" w:sz="4" w:space="0" w:color="E40037"/>
              <w:right w:val="single" w:sz="4" w:space="0" w:color="E40037"/>
            </w:tcBorders>
          </w:tcPr>
          <w:p w14:paraId="2F205D05"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2026/27</w:t>
            </w:r>
          </w:p>
        </w:tc>
        <w:tc>
          <w:tcPr>
            <w:tcW w:w="1890" w:type="dxa"/>
            <w:tcBorders>
              <w:top w:val="single" w:sz="4" w:space="0" w:color="E40037"/>
              <w:left w:val="single" w:sz="4" w:space="0" w:color="E40037"/>
              <w:bottom w:val="single" w:sz="4" w:space="0" w:color="E40037"/>
              <w:right w:val="single" w:sz="4" w:space="0" w:color="E40037"/>
            </w:tcBorders>
          </w:tcPr>
          <w:p w14:paraId="079D53AC"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(13.1)</w:t>
            </w:r>
          </w:p>
        </w:tc>
        <w:tc>
          <w:tcPr>
            <w:tcW w:w="1820" w:type="dxa"/>
            <w:tcBorders>
              <w:top w:val="single" w:sz="4" w:space="0" w:color="E40037"/>
              <w:left w:val="single" w:sz="4" w:space="0" w:color="E40037"/>
              <w:bottom w:val="single" w:sz="4" w:space="0" w:color="E40037"/>
              <w:right w:val="single" w:sz="4" w:space="0" w:color="E40037"/>
            </w:tcBorders>
          </w:tcPr>
          <w:p w14:paraId="399FB292"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13.1</w:t>
            </w:r>
          </w:p>
        </w:tc>
        <w:tc>
          <w:tcPr>
            <w:tcW w:w="1584" w:type="dxa"/>
            <w:tcBorders>
              <w:top w:val="single" w:sz="4" w:space="0" w:color="E40037"/>
              <w:left w:val="single" w:sz="4" w:space="0" w:color="E40037"/>
              <w:bottom w:val="single" w:sz="4" w:space="0" w:color="E40037"/>
              <w:right w:val="single" w:sz="4" w:space="0" w:color="E40037"/>
            </w:tcBorders>
          </w:tcPr>
          <w:p w14:paraId="3E9250A6"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c>
          <w:tcPr>
            <w:tcW w:w="1798" w:type="dxa"/>
            <w:tcBorders>
              <w:top w:val="single" w:sz="4" w:space="0" w:color="E40037"/>
              <w:left w:val="single" w:sz="4" w:space="0" w:color="E40037"/>
              <w:bottom w:val="single" w:sz="4" w:space="0" w:color="E40037"/>
              <w:right w:val="single" w:sz="4" w:space="0" w:color="E40037"/>
            </w:tcBorders>
          </w:tcPr>
          <w:p w14:paraId="0E2CC055"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w:t>
            </w:r>
          </w:p>
        </w:tc>
      </w:tr>
      <w:tr w:rsidR="00A20F86" w:rsidRPr="00A20F86" w14:paraId="6C78B083" w14:textId="77777777" w:rsidTr="00697A4E">
        <w:tc>
          <w:tcPr>
            <w:cnfStyle w:val="001000000000" w:firstRow="0" w:lastRow="0" w:firstColumn="1" w:lastColumn="0" w:oddVBand="0" w:evenVBand="0" w:oddHBand="0" w:evenHBand="0" w:firstRowFirstColumn="0" w:firstRowLastColumn="0" w:lastRowFirstColumn="0" w:lastRowLastColumn="0"/>
            <w:tcW w:w="1924" w:type="dxa"/>
            <w:tcBorders>
              <w:top w:val="single" w:sz="4" w:space="0" w:color="E40037"/>
              <w:left w:val="single" w:sz="4" w:space="0" w:color="E40037"/>
              <w:bottom w:val="single" w:sz="4" w:space="0" w:color="E40037"/>
              <w:right w:val="single" w:sz="4" w:space="0" w:color="E40037"/>
            </w:tcBorders>
          </w:tcPr>
          <w:p w14:paraId="24CF6540"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Total</w:t>
            </w:r>
          </w:p>
        </w:tc>
        <w:tc>
          <w:tcPr>
            <w:tcW w:w="1890" w:type="dxa"/>
            <w:tcBorders>
              <w:top w:val="single" w:sz="4" w:space="0" w:color="E40037"/>
              <w:left w:val="single" w:sz="4" w:space="0" w:color="E40037"/>
              <w:bottom w:val="single" w:sz="4" w:space="0" w:color="E40037"/>
              <w:right w:val="single" w:sz="4" w:space="0" w:color="E40037"/>
            </w:tcBorders>
          </w:tcPr>
          <w:p w14:paraId="436C0BC3"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Cs w:val="22"/>
              </w:rPr>
            </w:pPr>
            <w:r w:rsidRPr="00A20F86">
              <w:rPr>
                <w:rFonts w:ascii="Arial" w:eastAsia="Calibri" w:hAnsi="Arial" w:cs="Arial"/>
                <w:b/>
                <w:bCs/>
                <w:szCs w:val="22"/>
              </w:rPr>
              <w:t>(37.7)</w:t>
            </w:r>
          </w:p>
        </w:tc>
        <w:tc>
          <w:tcPr>
            <w:tcW w:w="1820" w:type="dxa"/>
            <w:tcBorders>
              <w:top w:val="single" w:sz="4" w:space="0" w:color="E40037"/>
              <w:left w:val="single" w:sz="4" w:space="0" w:color="E40037"/>
              <w:bottom w:val="single" w:sz="4" w:space="0" w:color="E40037"/>
              <w:right w:val="single" w:sz="4" w:space="0" w:color="E40037"/>
            </w:tcBorders>
          </w:tcPr>
          <w:p w14:paraId="230C0492"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Cs w:val="22"/>
              </w:rPr>
            </w:pPr>
            <w:r w:rsidRPr="00A20F86">
              <w:rPr>
                <w:rFonts w:ascii="Arial" w:eastAsia="Calibri" w:hAnsi="Arial" w:cs="Arial"/>
                <w:b/>
                <w:bCs/>
                <w:szCs w:val="22"/>
              </w:rPr>
              <w:t>35.7</w:t>
            </w:r>
          </w:p>
        </w:tc>
        <w:tc>
          <w:tcPr>
            <w:tcW w:w="1584" w:type="dxa"/>
            <w:tcBorders>
              <w:top w:val="single" w:sz="4" w:space="0" w:color="E40037"/>
              <w:left w:val="single" w:sz="4" w:space="0" w:color="E40037"/>
              <w:bottom w:val="single" w:sz="4" w:space="0" w:color="E40037"/>
              <w:right w:val="single" w:sz="4" w:space="0" w:color="E40037"/>
            </w:tcBorders>
          </w:tcPr>
          <w:p w14:paraId="1F180884"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Cs w:val="22"/>
              </w:rPr>
            </w:pPr>
            <w:r w:rsidRPr="00A20F86">
              <w:rPr>
                <w:rFonts w:ascii="Arial" w:eastAsia="Calibri" w:hAnsi="Arial" w:cs="Arial"/>
                <w:b/>
                <w:bCs/>
                <w:szCs w:val="22"/>
              </w:rPr>
              <w:t>(1.0)</w:t>
            </w:r>
          </w:p>
        </w:tc>
        <w:tc>
          <w:tcPr>
            <w:tcW w:w="1798" w:type="dxa"/>
            <w:tcBorders>
              <w:top w:val="single" w:sz="4" w:space="0" w:color="E40037"/>
              <w:left w:val="single" w:sz="4" w:space="0" w:color="E40037"/>
              <w:bottom w:val="single" w:sz="4" w:space="0" w:color="E40037"/>
              <w:right w:val="single" w:sz="4" w:space="0" w:color="E40037"/>
            </w:tcBorders>
          </w:tcPr>
          <w:p w14:paraId="780B819F"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b/>
                <w:bCs/>
                <w:szCs w:val="22"/>
              </w:rPr>
            </w:pPr>
            <w:r w:rsidRPr="00A20F86">
              <w:rPr>
                <w:rFonts w:ascii="Arial" w:eastAsia="Calibri" w:hAnsi="Arial" w:cs="Arial"/>
                <w:b/>
                <w:bCs/>
                <w:szCs w:val="22"/>
              </w:rPr>
              <w:t>3.0</w:t>
            </w:r>
          </w:p>
        </w:tc>
      </w:tr>
    </w:tbl>
    <w:p w14:paraId="6D188640"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60E33E68"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6.17</w:t>
      </w:r>
      <w:r w:rsidRPr="00A20F86">
        <w:rPr>
          <w:rFonts w:ascii="Arial" w:eastAsia="Times New Roman" w:hAnsi="Arial" w:cs="Times New Roman"/>
          <w:kern w:val="0"/>
          <w:lang w:eastAsia="en-GB"/>
          <w14:ligatures w14:val="none"/>
        </w:rPr>
        <w:tab/>
        <w:t>There were no movements between blocks between 2020/21 and 2024/25.</w:t>
      </w:r>
    </w:p>
    <w:p w14:paraId="08DE110C"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 xml:space="preserve"> </w:t>
      </w:r>
    </w:p>
    <w:p w14:paraId="4A40B71A"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kern w:val="0"/>
          <w:lang w:eastAsia="en-GB"/>
          <w14:ligatures w14:val="none"/>
        </w:rPr>
        <w:t>6.18</w:t>
      </w:r>
      <w:r w:rsidRPr="00A20F86">
        <w:rPr>
          <w:rFonts w:ascii="Arial" w:eastAsia="Times New Roman" w:hAnsi="Arial" w:cs="Times New Roman"/>
          <w:kern w:val="0"/>
          <w:lang w:eastAsia="en-GB"/>
          <w14:ligatures w14:val="none"/>
        </w:rPr>
        <w:tab/>
      </w:r>
      <w:r w:rsidRPr="00A20F86">
        <w:rPr>
          <w:rFonts w:ascii="Arial" w:eastAsia="Times New Roman" w:hAnsi="Arial" w:cs="Times New Roman"/>
          <w:bCs/>
          <w:kern w:val="0"/>
          <w:lang w:eastAsia="en-GB"/>
          <w14:ligatures w14:val="none"/>
        </w:rPr>
        <w:t>The 2026/27 block transfer was to support inclusion and outreach initiatives as well as to provide financial support to help mitigate the deficit. Without the Schools Block transfer agreed for the current year, inclusion and outreach initiatives would be unfunded, and the deficit would be £75.7m rather than the £62.6m currently forecast.</w:t>
      </w:r>
    </w:p>
    <w:p w14:paraId="2FBD2DB3" w14:textId="77777777" w:rsidR="00A20F86" w:rsidRP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442FEA1D"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7F8B5CFF"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42C3DC9C"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01FC570D"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5D8BF40C"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73163E63"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2005913C"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1D1CED67"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078EE9EC" w14:textId="10A17547" w:rsidR="00A20F86" w:rsidRPr="00A20F86" w:rsidRDefault="00A20F86" w:rsidP="00A20F86">
      <w:pPr>
        <w:spacing w:after="0" w:line="240" w:lineRule="auto"/>
        <w:ind w:left="567" w:hanging="567"/>
        <w:rPr>
          <w:rFonts w:ascii="Arial" w:eastAsia="Times New Roman" w:hAnsi="Arial" w:cs="Times New Roman"/>
          <w:b/>
          <w:kern w:val="0"/>
          <w:lang w:eastAsia="en-GB"/>
          <w14:ligatures w14:val="none"/>
        </w:rPr>
      </w:pPr>
      <w:r w:rsidRPr="00A20F86">
        <w:rPr>
          <w:rFonts w:ascii="Arial" w:eastAsia="Times New Roman" w:hAnsi="Arial" w:cs="Times New Roman"/>
          <w:b/>
          <w:kern w:val="0"/>
          <w:lang w:eastAsia="en-GB"/>
          <w14:ligatures w14:val="none"/>
        </w:rPr>
        <w:lastRenderedPageBreak/>
        <w:t>7</w:t>
      </w:r>
      <w:r w:rsidRPr="00A20F86">
        <w:rPr>
          <w:rFonts w:ascii="Arial" w:eastAsia="Times New Roman" w:hAnsi="Arial" w:cs="Times New Roman"/>
          <w:b/>
          <w:kern w:val="0"/>
          <w:lang w:eastAsia="en-GB"/>
          <w14:ligatures w14:val="none"/>
        </w:rPr>
        <w:tab/>
        <w:t>Financial Implications</w:t>
      </w:r>
    </w:p>
    <w:p w14:paraId="10B0B790" w14:textId="77777777" w:rsidR="00A20F86" w:rsidRP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667EC4F6" w14:textId="77777777" w:rsidR="00A20F86" w:rsidRPr="00A20F86" w:rsidRDefault="00A20F86" w:rsidP="00A20F86">
      <w:pPr>
        <w:spacing w:after="0" w:line="240" w:lineRule="auto"/>
        <w:ind w:left="567" w:hanging="567"/>
        <w:rPr>
          <w:rFonts w:ascii="Arial" w:eastAsia="Times New Roman" w:hAnsi="Arial" w:cs="Arial"/>
          <w:kern w:val="0"/>
          <w:lang w:eastAsia="en-GB"/>
          <w14:ligatures w14:val="none"/>
        </w:rPr>
      </w:pPr>
      <w:r w:rsidRPr="00A20F86">
        <w:rPr>
          <w:rFonts w:ascii="Arial" w:eastAsia="Times New Roman" w:hAnsi="Arial" w:cs="Times New Roman"/>
          <w:bCs/>
          <w:kern w:val="0"/>
          <w:lang w:eastAsia="en-GB"/>
          <w14:ligatures w14:val="none"/>
        </w:rPr>
        <w:t>7.1</w:t>
      </w:r>
      <w:r w:rsidRPr="00A20F86">
        <w:rPr>
          <w:rFonts w:ascii="Arial" w:eastAsia="Times New Roman" w:hAnsi="Arial" w:cs="Times New Roman"/>
          <w:bCs/>
          <w:kern w:val="0"/>
          <w:lang w:eastAsia="en-GB"/>
          <w14:ligatures w14:val="none"/>
        </w:rPr>
        <w:tab/>
      </w:r>
      <w:r w:rsidRPr="00A20F86">
        <w:rPr>
          <w:rFonts w:ascii="Arial" w:eastAsia="Times New Roman" w:hAnsi="Arial" w:cs="Arial"/>
          <w:b/>
          <w:bCs/>
          <w:kern w:val="0"/>
          <w:lang w:eastAsia="en-GB"/>
          <w14:ligatures w14:val="none"/>
        </w:rPr>
        <w:t>Table 7</w:t>
      </w:r>
      <w:r w:rsidRPr="00A20F86">
        <w:rPr>
          <w:rFonts w:ascii="Arial" w:eastAsia="Times New Roman" w:hAnsi="Arial" w:cs="Arial"/>
          <w:kern w:val="0"/>
          <w:lang w:eastAsia="en-GB"/>
          <w14:ligatures w14:val="none"/>
        </w:rPr>
        <w:t xml:space="preserve"> shows the forecast funding that has been allocated through the Essex Formula for Funding Schools to produce indicative allocations for 2027/28.</w:t>
      </w:r>
    </w:p>
    <w:p w14:paraId="2856ED4E" w14:textId="77777777" w:rsidR="00A20F86" w:rsidRPr="00A20F86" w:rsidRDefault="00A20F86" w:rsidP="00A20F86">
      <w:pPr>
        <w:spacing w:after="0" w:line="240" w:lineRule="auto"/>
        <w:rPr>
          <w:rFonts w:ascii="Arial" w:eastAsia="Times New Roman" w:hAnsi="Arial" w:cs="Arial"/>
          <w:kern w:val="0"/>
          <w:lang w:eastAsia="en-GB"/>
          <w14:ligatures w14:val="none"/>
        </w:rPr>
      </w:pPr>
    </w:p>
    <w:tbl>
      <w:tblPr>
        <w:tblStyle w:val="TableGrid"/>
        <w:tblW w:w="0" w:type="auto"/>
        <w:tblLook w:val="04A0" w:firstRow="1" w:lastRow="0" w:firstColumn="1" w:lastColumn="0" w:noHBand="0" w:noVBand="1"/>
      </w:tblPr>
      <w:tblGrid>
        <w:gridCol w:w="2254"/>
        <w:gridCol w:w="2254"/>
        <w:gridCol w:w="2254"/>
        <w:gridCol w:w="2254"/>
      </w:tblGrid>
      <w:tr w:rsidR="00A20F86" w:rsidRPr="00A20F86" w14:paraId="7DBF8B18" w14:textId="77777777" w:rsidTr="00697A4E">
        <w:tc>
          <w:tcPr>
            <w:tcW w:w="2254" w:type="dxa"/>
            <w:tcBorders>
              <w:top w:val="single" w:sz="4" w:space="0" w:color="E40037"/>
              <w:left w:val="single" w:sz="4" w:space="0" w:color="E40037"/>
              <w:right w:val="single" w:sz="4" w:space="0" w:color="E40037"/>
            </w:tcBorders>
            <w:shd w:val="clear" w:color="auto" w:fill="E40037"/>
          </w:tcPr>
          <w:p w14:paraId="29DA9E4E" w14:textId="77777777" w:rsidR="00A20F86" w:rsidRPr="00A20F86" w:rsidRDefault="00A20F86" w:rsidP="00A20F86">
            <w:pPr>
              <w:rPr>
                <w:rFonts w:ascii="Arial" w:hAnsi="Arial" w:cs="Arial"/>
              </w:rPr>
            </w:pPr>
          </w:p>
        </w:tc>
        <w:tc>
          <w:tcPr>
            <w:tcW w:w="2254" w:type="dxa"/>
            <w:tcBorders>
              <w:top w:val="single" w:sz="4" w:space="0" w:color="E40037"/>
              <w:left w:val="single" w:sz="4" w:space="0" w:color="E40037"/>
              <w:right w:val="single" w:sz="4" w:space="0" w:color="E40037"/>
            </w:tcBorders>
            <w:shd w:val="clear" w:color="auto" w:fill="E40037"/>
          </w:tcPr>
          <w:p w14:paraId="42F7EF6D" w14:textId="77777777" w:rsidR="00A20F86" w:rsidRPr="00A20F86" w:rsidRDefault="00A20F86" w:rsidP="00A20F86">
            <w:pPr>
              <w:jc w:val="center"/>
              <w:rPr>
                <w:rFonts w:ascii="Arial" w:hAnsi="Arial" w:cs="Arial"/>
                <w:b/>
                <w:bCs/>
                <w:color w:val="FFFFFF"/>
              </w:rPr>
            </w:pPr>
            <w:r w:rsidRPr="00A20F86">
              <w:rPr>
                <w:rFonts w:ascii="Arial" w:hAnsi="Arial" w:cs="Arial"/>
                <w:b/>
                <w:bCs/>
                <w:color w:val="FFFFFF"/>
              </w:rPr>
              <w:t>2026/27</w:t>
            </w:r>
          </w:p>
          <w:p w14:paraId="3CA90150" w14:textId="77777777" w:rsidR="00A20F86" w:rsidRPr="00A20F86" w:rsidRDefault="00A20F86" w:rsidP="00A20F86">
            <w:pPr>
              <w:jc w:val="center"/>
              <w:rPr>
                <w:rFonts w:ascii="Arial" w:hAnsi="Arial" w:cs="Arial"/>
                <w:b/>
                <w:bCs/>
                <w:color w:val="FFFFFF"/>
              </w:rPr>
            </w:pPr>
            <w:r w:rsidRPr="00A20F86">
              <w:rPr>
                <w:rFonts w:ascii="Arial" w:hAnsi="Arial" w:cs="Arial"/>
                <w:b/>
                <w:bCs/>
                <w:color w:val="FFFFFF"/>
              </w:rPr>
              <w:t>£m</w:t>
            </w:r>
          </w:p>
        </w:tc>
        <w:tc>
          <w:tcPr>
            <w:tcW w:w="2254" w:type="dxa"/>
            <w:tcBorders>
              <w:top w:val="single" w:sz="4" w:space="0" w:color="E40037"/>
              <w:left w:val="single" w:sz="4" w:space="0" w:color="E40037"/>
              <w:right w:val="single" w:sz="4" w:space="0" w:color="E40037"/>
            </w:tcBorders>
            <w:shd w:val="clear" w:color="auto" w:fill="E40037"/>
          </w:tcPr>
          <w:p w14:paraId="3AA4364D" w14:textId="77777777" w:rsidR="00A20F86" w:rsidRPr="00A20F86" w:rsidRDefault="00A20F86" w:rsidP="00A20F86">
            <w:pPr>
              <w:jc w:val="center"/>
              <w:rPr>
                <w:rFonts w:ascii="Arial" w:hAnsi="Arial" w:cs="Arial"/>
                <w:b/>
                <w:bCs/>
                <w:color w:val="FFFFFF"/>
              </w:rPr>
            </w:pPr>
            <w:r w:rsidRPr="00A20F86">
              <w:rPr>
                <w:rFonts w:ascii="Arial" w:hAnsi="Arial" w:cs="Arial"/>
                <w:b/>
                <w:bCs/>
                <w:color w:val="FFFFFF"/>
              </w:rPr>
              <w:t>2027/28</w:t>
            </w:r>
          </w:p>
          <w:p w14:paraId="48C3F273" w14:textId="77777777" w:rsidR="00A20F86" w:rsidRPr="00A20F86" w:rsidRDefault="00A20F86" w:rsidP="00A20F86">
            <w:pPr>
              <w:jc w:val="center"/>
              <w:rPr>
                <w:rFonts w:ascii="Arial" w:hAnsi="Arial" w:cs="Arial"/>
                <w:b/>
                <w:bCs/>
                <w:color w:val="FFFFFF"/>
              </w:rPr>
            </w:pPr>
            <w:r w:rsidRPr="00A20F86">
              <w:rPr>
                <w:rFonts w:ascii="Arial" w:hAnsi="Arial" w:cs="Arial"/>
                <w:b/>
                <w:bCs/>
                <w:color w:val="FFFFFF"/>
              </w:rPr>
              <w:t>£m</w:t>
            </w:r>
          </w:p>
        </w:tc>
        <w:tc>
          <w:tcPr>
            <w:tcW w:w="2254" w:type="dxa"/>
            <w:tcBorders>
              <w:top w:val="single" w:sz="4" w:space="0" w:color="E40037"/>
              <w:left w:val="single" w:sz="4" w:space="0" w:color="E40037"/>
              <w:right w:val="single" w:sz="4" w:space="0" w:color="E40037"/>
            </w:tcBorders>
            <w:shd w:val="clear" w:color="auto" w:fill="E40037"/>
          </w:tcPr>
          <w:p w14:paraId="203914C0" w14:textId="77777777" w:rsidR="00A20F86" w:rsidRPr="00A20F86" w:rsidRDefault="00A20F86" w:rsidP="00A20F86">
            <w:pPr>
              <w:jc w:val="center"/>
              <w:rPr>
                <w:rFonts w:ascii="Arial" w:hAnsi="Arial" w:cs="Arial"/>
                <w:b/>
                <w:bCs/>
                <w:color w:val="FFFFFF"/>
              </w:rPr>
            </w:pPr>
            <w:r w:rsidRPr="00A20F86">
              <w:rPr>
                <w:rFonts w:ascii="Arial" w:hAnsi="Arial" w:cs="Arial"/>
                <w:b/>
                <w:bCs/>
                <w:color w:val="FFFFFF"/>
              </w:rPr>
              <w:t>Difference</w:t>
            </w:r>
          </w:p>
          <w:p w14:paraId="48DDBD9A" w14:textId="77777777" w:rsidR="00A20F86" w:rsidRPr="00A20F86" w:rsidRDefault="00A20F86" w:rsidP="00A20F86">
            <w:pPr>
              <w:jc w:val="center"/>
              <w:rPr>
                <w:rFonts w:ascii="Arial" w:hAnsi="Arial" w:cs="Arial"/>
                <w:b/>
                <w:bCs/>
                <w:color w:val="FFFFFF"/>
              </w:rPr>
            </w:pPr>
            <w:r w:rsidRPr="00A20F86">
              <w:rPr>
                <w:rFonts w:ascii="Arial" w:hAnsi="Arial" w:cs="Arial"/>
                <w:b/>
                <w:bCs/>
                <w:color w:val="FFFFFF"/>
              </w:rPr>
              <w:t>£m</w:t>
            </w:r>
          </w:p>
        </w:tc>
      </w:tr>
      <w:tr w:rsidR="00A20F86" w:rsidRPr="00A20F86" w14:paraId="685C0416" w14:textId="77777777" w:rsidTr="00697A4E">
        <w:tc>
          <w:tcPr>
            <w:tcW w:w="2254" w:type="dxa"/>
            <w:tcBorders>
              <w:left w:val="single" w:sz="4" w:space="0" w:color="E40037"/>
              <w:bottom w:val="single" w:sz="4" w:space="0" w:color="E40037"/>
              <w:right w:val="single" w:sz="4" w:space="0" w:color="E40037"/>
            </w:tcBorders>
          </w:tcPr>
          <w:p w14:paraId="384802DE" w14:textId="77777777" w:rsidR="00A20F86" w:rsidRPr="00A20F86" w:rsidRDefault="00A20F86" w:rsidP="00A20F86">
            <w:pPr>
              <w:rPr>
                <w:rFonts w:ascii="Arial" w:hAnsi="Arial" w:cs="Arial"/>
              </w:rPr>
            </w:pPr>
            <w:r w:rsidRPr="00A20F86">
              <w:rPr>
                <w:rFonts w:ascii="Arial" w:hAnsi="Arial" w:cs="Arial"/>
              </w:rPr>
              <w:t>Schools Block Allocation</w:t>
            </w:r>
          </w:p>
        </w:tc>
        <w:tc>
          <w:tcPr>
            <w:tcW w:w="2254" w:type="dxa"/>
            <w:tcBorders>
              <w:left w:val="single" w:sz="4" w:space="0" w:color="E40037"/>
              <w:bottom w:val="single" w:sz="4" w:space="0" w:color="E40037"/>
              <w:right w:val="single" w:sz="4" w:space="0" w:color="E40037"/>
            </w:tcBorders>
          </w:tcPr>
          <w:p w14:paraId="3DA2CEE6" w14:textId="77777777" w:rsidR="00A20F86" w:rsidRPr="00A20F86" w:rsidRDefault="00A20F86" w:rsidP="00A20F86">
            <w:pPr>
              <w:jc w:val="right"/>
              <w:rPr>
                <w:rFonts w:ascii="Arial" w:hAnsi="Arial" w:cs="Arial"/>
              </w:rPr>
            </w:pPr>
            <w:r w:rsidRPr="00A20F86">
              <w:rPr>
                <w:rFonts w:ascii="Arial" w:hAnsi="Arial" w:cs="Arial"/>
              </w:rPr>
              <w:t>1,307.3</w:t>
            </w:r>
          </w:p>
        </w:tc>
        <w:tc>
          <w:tcPr>
            <w:tcW w:w="2254" w:type="dxa"/>
            <w:tcBorders>
              <w:left w:val="single" w:sz="4" w:space="0" w:color="E40037"/>
              <w:bottom w:val="single" w:sz="4" w:space="0" w:color="E40037"/>
              <w:right w:val="single" w:sz="4" w:space="0" w:color="E40037"/>
            </w:tcBorders>
          </w:tcPr>
          <w:p w14:paraId="29E815A3" w14:textId="77777777" w:rsidR="00A20F86" w:rsidRPr="00A20F86" w:rsidRDefault="00A20F86" w:rsidP="00A20F86">
            <w:pPr>
              <w:jc w:val="right"/>
              <w:rPr>
                <w:rFonts w:ascii="Arial" w:hAnsi="Arial" w:cs="Arial"/>
              </w:rPr>
            </w:pPr>
            <w:r w:rsidRPr="00A20F86">
              <w:rPr>
                <w:rFonts w:ascii="Arial" w:hAnsi="Arial" w:cs="Arial"/>
              </w:rPr>
              <w:t>1,325.6</w:t>
            </w:r>
            <w:r w:rsidRPr="00A20F86">
              <w:rPr>
                <w:rFonts w:ascii="Arial" w:hAnsi="Arial" w:cs="Arial"/>
                <w:vertAlign w:val="superscript"/>
              </w:rPr>
              <w:footnoteReference w:id="1"/>
            </w:r>
          </w:p>
        </w:tc>
        <w:tc>
          <w:tcPr>
            <w:tcW w:w="2254" w:type="dxa"/>
            <w:tcBorders>
              <w:left w:val="single" w:sz="4" w:space="0" w:color="E40037"/>
              <w:bottom w:val="single" w:sz="4" w:space="0" w:color="E40037"/>
              <w:right w:val="single" w:sz="4" w:space="0" w:color="E40037"/>
            </w:tcBorders>
          </w:tcPr>
          <w:p w14:paraId="4792DE03" w14:textId="77777777" w:rsidR="00A20F86" w:rsidRPr="00A20F86" w:rsidRDefault="00A20F86" w:rsidP="00A20F86">
            <w:pPr>
              <w:jc w:val="right"/>
              <w:rPr>
                <w:rFonts w:ascii="Arial" w:hAnsi="Arial" w:cs="Arial"/>
              </w:rPr>
            </w:pPr>
            <w:r w:rsidRPr="00A20F86">
              <w:rPr>
                <w:rFonts w:ascii="Arial" w:hAnsi="Arial" w:cs="Arial"/>
              </w:rPr>
              <w:t>18.3</w:t>
            </w:r>
          </w:p>
        </w:tc>
      </w:tr>
      <w:tr w:rsidR="00A20F86" w:rsidRPr="00A20F86" w14:paraId="50207CEA" w14:textId="77777777" w:rsidTr="00697A4E">
        <w:tc>
          <w:tcPr>
            <w:tcW w:w="2254" w:type="dxa"/>
            <w:tcBorders>
              <w:top w:val="single" w:sz="4" w:space="0" w:color="E40037"/>
              <w:left w:val="single" w:sz="4" w:space="0" w:color="E40037"/>
              <w:bottom w:val="single" w:sz="4" w:space="0" w:color="E40037"/>
              <w:right w:val="single" w:sz="4" w:space="0" w:color="E40037"/>
            </w:tcBorders>
          </w:tcPr>
          <w:p w14:paraId="2D15A885" w14:textId="77777777" w:rsidR="00A20F86" w:rsidRPr="00A20F86" w:rsidRDefault="00A20F86" w:rsidP="00A20F86">
            <w:pPr>
              <w:rPr>
                <w:rFonts w:ascii="Arial" w:hAnsi="Arial" w:cs="Arial"/>
              </w:rPr>
            </w:pPr>
            <w:r w:rsidRPr="00A20F86">
              <w:rPr>
                <w:rFonts w:ascii="Arial" w:hAnsi="Arial" w:cs="Arial"/>
              </w:rPr>
              <w:t>Falling Rolls Fund</w:t>
            </w:r>
          </w:p>
        </w:tc>
        <w:tc>
          <w:tcPr>
            <w:tcW w:w="2254" w:type="dxa"/>
            <w:tcBorders>
              <w:top w:val="single" w:sz="4" w:space="0" w:color="E40037"/>
              <w:left w:val="single" w:sz="4" w:space="0" w:color="E40037"/>
              <w:bottom w:val="single" w:sz="4" w:space="0" w:color="E40037"/>
              <w:right w:val="single" w:sz="4" w:space="0" w:color="E40037"/>
            </w:tcBorders>
          </w:tcPr>
          <w:p w14:paraId="32EEB8B4" w14:textId="77777777" w:rsidR="00A20F86" w:rsidRPr="00A20F86" w:rsidRDefault="00A20F86" w:rsidP="00A20F86">
            <w:pPr>
              <w:jc w:val="right"/>
              <w:rPr>
                <w:rFonts w:ascii="Arial" w:hAnsi="Arial" w:cs="Arial"/>
              </w:rPr>
            </w:pPr>
            <w:r w:rsidRPr="00A20F86">
              <w:rPr>
                <w:rFonts w:ascii="Arial" w:hAnsi="Arial" w:cs="Arial"/>
              </w:rPr>
              <w:t>(0.1)</w:t>
            </w:r>
          </w:p>
        </w:tc>
        <w:tc>
          <w:tcPr>
            <w:tcW w:w="2254" w:type="dxa"/>
            <w:tcBorders>
              <w:top w:val="single" w:sz="4" w:space="0" w:color="E40037"/>
              <w:left w:val="single" w:sz="4" w:space="0" w:color="E40037"/>
              <w:bottom w:val="single" w:sz="4" w:space="0" w:color="E40037"/>
              <w:right w:val="single" w:sz="4" w:space="0" w:color="E40037"/>
            </w:tcBorders>
          </w:tcPr>
          <w:p w14:paraId="0B30A8B0" w14:textId="77777777" w:rsidR="00A20F86" w:rsidRPr="00A20F86" w:rsidRDefault="00A20F86" w:rsidP="00A20F86">
            <w:pPr>
              <w:jc w:val="right"/>
              <w:rPr>
                <w:rFonts w:ascii="Arial" w:hAnsi="Arial" w:cs="Arial"/>
              </w:rPr>
            </w:pPr>
            <w:r w:rsidRPr="00A20F86">
              <w:rPr>
                <w:rFonts w:ascii="Arial" w:hAnsi="Arial" w:cs="Arial"/>
              </w:rPr>
              <w:t>(0.1)</w:t>
            </w:r>
          </w:p>
        </w:tc>
        <w:tc>
          <w:tcPr>
            <w:tcW w:w="2254" w:type="dxa"/>
            <w:tcBorders>
              <w:top w:val="single" w:sz="4" w:space="0" w:color="E40037"/>
              <w:left w:val="single" w:sz="4" w:space="0" w:color="E40037"/>
              <w:bottom w:val="single" w:sz="4" w:space="0" w:color="E40037"/>
              <w:right w:val="single" w:sz="4" w:space="0" w:color="E40037"/>
            </w:tcBorders>
          </w:tcPr>
          <w:p w14:paraId="64C40C80" w14:textId="77777777" w:rsidR="00A20F86" w:rsidRPr="00A20F86" w:rsidRDefault="00A20F86" w:rsidP="00A20F86">
            <w:pPr>
              <w:jc w:val="right"/>
              <w:rPr>
                <w:rFonts w:ascii="Arial" w:hAnsi="Arial" w:cs="Arial"/>
              </w:rPr>
            </w:pPr>
            <w:r w:rsidRPr="00A20F86">
              <w:rPr>
                <w:rFonts w:ascii="Arial" w:hAnsi="Arial" w:cs="Arial"/>
              </w:rPr>
              <w:t>0</w:t>
            </w:r>
          </w:p>
        </w:tc>
      </w:tr>
      <w:tr w:rsidR="00A20F86" w:rsidRPr="00A20F86" w14:paraId="623076DC" w14:textId="77777777" w:rsidTr="00697A4E">
        <w:tc>
          <w:tcPr>
            <w:tcW w:w="2254" w:type="dxa"/>
            <w:tcBorders>
              <w:top w:val="single" w:sz="4" w:space="0" w:color="E40037"/>
              <w:left w:val="single" w:sz="4" w:space="0" w:color="E40037"/>
              <w:bottom w:val="single" w:sz="4" w:space="0" w:color="E40037"/>
              <w:right w:val="single" w:sz="4" w:space="0" w:color="E40037"/>
            </w:tcBorders>
          </w:tcPr>
          <w:p w14:paraId="096504DD" w14:textId="77777777" w:rsidR="00A20F86" w:rsidRPr="00A20F86" w:rsidRDefault="00A20F86" w:rsidP="00A20F86">
            <w:pPr>
              <w:rPr>
                <w:rFonts w:ascii="Arial" w:hAnsi="Arial" w:cs="Arial"/>
              </w:rPr>
            </w:pPr>
            <w:r w:rsidRPr="00A20F86">
              <w:rPr>
                <w:rFonts w:ascii="Arial" w:hAnsi="Arial" w:cs="Arial"/>
              </w:rPr>
              <w:t>Growth Fund</w:t>
            </w:r>
          </w:p>
        </w:tc>
        <w:tc>
          <w:tcPr>
            <w:tcW w:w="2254" w:type="dxa"/>
            <w:tcBorders>
              <w:top w:val="single" w:sz="4" w:space="0" w:color="E40037"/>
              <w:left w:val="single" w:sz="4" w:space="0" w:color="E40037"/>
              <w:bottom w:val="single" w:sz="4" w:space="0" w:color="E40037"/>
              <w:right w:val="single" w:sz="4" w:space="0" w:color="E40037"/>
            </w:tcBorders>
          </w:tcPr>
          <w:p w14:paraId="03783C53" w14:textId="77777777" w:rsidR="00A20F86" w:rsidRPr="00A20F86" w:rsidRDefault="00A20F86" w:rsidP="00A20F86">
            <w:pPr>
              <w:jc w:val="right"/>
              <w:rPr>
                <w:rFonts w:ascii="Arial" w:hAnsi="Arial" w:cs="Arial"/>
              </w:rPr>
            </w:pPr>
            <w:r w:rsidRPr="00A20F86">
              <w:rPr>
                <w:rFonts w:ascii="Arial" w:hAnsi="Arial" w:cs="Arial"/>
              </w:rPr>
              <w:t>(3.6)</w:t>
            </w:r>
          </w:p>
        </w:tc>
        <w:tc>
          <w:tcPr>
            <w:tcW w:w="2254" w:type="dxa"/>
            <w:tcBorders>
              <w:top w:val="single" w:sz="4" w:space="0" w:color="E40037"/>
              <w:left w:val="single" w:sz="4" w:space="0" w:color="E40037"/>
              <w:bottom w:val="single" w:sz="4" w:space="0" w:color="E40037"/>
              <w:right w:val="single" w:sz="4" w:space="0" w:color="E40037"/>
            </w:tcBorders>
          </w:tcPr>
          <w:p w14:paraId="36AEEBCF" w14:textId="77777777" w:rsidR="00A20F86" w:rsidRPr="00A20F86" w:rsidRDefault="00A20F86" w:rsidP="00A20F86">
            <w:pPr>
              <w:jc w:val="right"/>
              <w:rPr>
                <w:rFonts w:ascii="Arial" w:hAnsi="Arial" w:cs="Arial"/>
              </w:rPr>
            </w:pPr>
            <w:r w:rsidRPr="00A20F86">
              <w:rPr>
                <w:rFonts w:ascii="Arial" w:hAnsi="Arial" w:cs="Arial"/>
              </w:rPr>
              <w:t>(3.6)</w:t>
            </w:r>
          </w:p>
        </w:tc>
        <w:tc>
          <w:tcPr>
            <w:tcW w:w="2254" w:type="dxa"/>
            <w:tcBorders>
              <w:top w:val="single" w:sz="4" w:space="0" w:color="E40037"/>
              <w:left w:val="single" w:sz="4" w:space="0" w:color="E40037"/>
              <w:bottom w:val="single" w:sz="4" w:space="0" w:color="E40037"/>
              <w:right w:val="single" w:sz="4" w:space="0" w:color="E40037"/>
            </w:tcBorders>
          </w:tcPr>
          <w:p w14:paraId="6F992BC1" w14:textId="77777777" w:rsidR="00A20F86" w:rsidRPr="00A20F86" w:rsidRDefault="00A20F86" w:rsidP="00A20F86">
            <w:pPr>
              <w:jc w:val="right"/>
              <w:rPr>
                <w:rFonts w:ascii="Arial" w:hAnsi="Arial" w:cs="Arial"/>
              </w:rPr>
            </w:pPr>
            <w:r w:rsidRPr="00A20F86">
              <w:rPr>
                <w:rFonts w:ascii="Arial" w:hAnsi="Arial" w:cs="Arial"/>
              </w:rPr>
              <w:t>0</w:t>
            </w:r>
          </w:p>
        </w:tc>
      </w:tr>
      <w:tr w:rsidR="00A20F86" w:rsidRPr="00A20F86" w14:paraId="616B940D" w14:textId="77777777" w:rsidTr="00697A4E">
        <w:tc>
          <w:tcPr>
            <w:tcW w:w="2254" w:type="dxa"/>
            <w:tcBorders>
              <w:top w:val="single" w:sz="4" w:space="0" w:color="E40037"/>
              <w:left w:val="single" w:sz="4" w:space="0" w:color="E40037"/>
              <w:bottom w:val="single" w:sz="4" w:space="0" w:color="E40037"/>
              <w:right w:val="single" w:sz="4" w:space="0" w:color="E40037"/>
            </w:tcBorders>
          </w:tcPr>
          <w:p w14:paraId="784CB78D" w14:textId="77777777" w:rsidR="00A20F86" w:rsidRPr="00A20F86" w:rsidRDefault="00A20F86" w:rsidP="00A20F86">
            <w:pPr>
              <w:rPr>
                <w:rFonts w:ascii="Arial" w:hAnsi="Arial" w:cs="Arial"/>
              </w:rPr>
            </w:pPr>
            <w:r w:rsidRPr="00A20F86">
              <w:rPr>
                <w:rFonts w:ascii="Arial" w:hAnsi="Arial" w:cs="Arial"/>
              </w:rPr>
              <w:t>Forum approved -Premature Retirement Costs</w:t>
            </w:r>
          </w:p>
        </w:tc>
        <w:tc>
          <w:tcPr>
            <w:tcW w:w="2254" w:type="dxa"/>
            <w:tcBorders>
              <w:top w:val="single" w:sz="4" w:space="0" w:color="E40037"/>
              <w:left w:val="single" w:sz="4" w:space="0" w:color="E40037"/>
              <w:bottom w:val="single" w:sz="4" w:space="0" w:color="E40037"/>
              <w:right w:val="single" w:sz="4" w:space="0" w:color="E40037"/>
            </w:tcBorders>
          </w:tcPr>
          <w:p w14:paraId="322A9010" w14:textId="77777777" w:rsidR="00A20F86" w:rsidRPr="00A20F86" w:rsidRDefault="00A20F86" w:rsidP="00A20F86">
            <w:pPr>
              <w:jc w:val="right"/>
              <w:rPr>
                <w:rFonts w:ascii="Arial" w:hAnsi="Arial" w:cs="Arial"/>
              </w:rPr>
            </w:pPr>
            <w:r w:rsidRPr="00A20F86">
              <w:rPr>
                <w:rFonts w:ascii="Arial" w:hAnsi="Arial" w:cs="Arial"/>
              </w:rPr>
              <w:t>(1.2)</w:t>
            </w:r>
          </w:p>
        </w:tc>
        <w:tc>
          <w:tcPr>
            <w:tcW w:w="2254" w:type="dxa"/>
            <w:tcBorders>
              <w:top w:val="single" w:sz="4" w:space="0" w:color="E40037"/>
              <w:left w:val="single" w:sz="4" w:space="0" w:color="E40037"/>
              <w:bottom w:val="single" w:sz="4" w:space="0" w:color="E40037"/>
              <w:right w:val="single" w:sz="4" w:space="0" w:color="E40037"/>
            </w:tcBorders>
          </w:tcPr>
          <w:p w14:paraId="25E588C3" w14:textId="77777777" w:rsidR="00A20F86" w:rsidRPr="00A20F86" w:rsidRDefault="00A20F86" w:rsidP="00A20F86">
            <w:pPr>
              <w:jc w:val="right"/>
              <w:rPr>
                <w:rFonts w:ascii="Arial" w:hAnsi="Arial" w:cs="Arial"/>
              </w:rPr>
            </w:pPr>
            <w:r w:rsidRPr="00A20F86">
              <w:rPr>
                <w:rFonts w:ascii="Arial" w:hAnsi="Arial" w:cs="Arial"/>
              </w:rPr>
              <w:t>(1.2)</w:t>
            </w:r>
          </w:p>
        </w:tc>
        <w:tc>
          <w:tcPr>
            <w:tcW w:w="2254" w:type="dxa"/>
            <w:tcBorders>
              <w:top w:val="single" w:sz="4" w:space="0" w:color="E40037"/>
              <w:left w:val="single" w:sz="4" w:space="0" w:color="E40037"/>
              <w:bottom w:val="single" w:sz="4" w:space="0" w:color="E40037"/>
              <w:right w:val="single" w:sz="4" w:space="0" w:color="E40037"/>
            </w:tcBorders>
          </w:tcPr>
          <w:p w14:paraId="71BC573C" w14:textId="77777777" w:rsidR="00A20F86" w:rsidRPr="00A20F86" w:rsidRDefault="00A20F86" w:rsidP="00A20F86">
            <w:pPr>
              <w:jc w:val="right"/>
              <w:rPr>
                <w:rFonts w:ascii="Arial" w:hAnsi="Arial" w:cs="Arial"/>
              </w:rPr>
            </w:pPr>
            <w:r w:rsidRPr="00A20F86">
              <w:rPr>
                <w:rFonts w:ascii="Arial" w:hAnsi="Arial" w:cs="Arial"/>
              </w:rPr>
              <w:t>0</w:t>
            </w:r>
          </w:p>
        </w:tc>
      </w:tr>
      <w:tr w:rsidR="00A20F86" w:rsidRPr="00A20F86" w14:paraId="6C9B117E" w14:textId="77777777" w:rsidTr="00697A4E">
        <w:tc>
          <w:tcPr>
            <w:tcW w:w="2254" w:type="dxa"/>
            <w:tcBorders>
              <w:top w:val="single" w:sz="4" w:space="0" w:color="E40037"/>
              <w:left w:val="single" w:sz="4" w:space="0" w:color="E40037"/>
              <w:bottom w:val="single" w:sz="4" w:space="0" w:color="E40037"/>
              <w:right w:val="single" w:sz="4" w:space="0" w:color="E40037"/>
            </w:tcBorders>
          </w:tcPr>
          <w:p w14:paraId="771BAF47" w14:textId="77777777" w:rsidR="00A20F86" w:rsidRPr="00A20F86" w:rsidRDefault="00A20F86" w:rsidP="00A20F86">
            <w:pPr>
              <w:rPr>
                <w:rFonts w:ascii="Arial" w:hAnsi="Arial" w:cs="Arial"/>
              </w:rPr>
            </w:pPr>
            <w:r w:rsidRPr="00A20F86">
              <w:rPr>
                <w:rFonts w:ascii="Arial" w:hAnsi="Arial" w:cs="Arial"/>
              </w:rPr>
              <w:t>Transfer to High Needs Block</w:t>
            </w:r>
          </w:p>
        </w:tc>
        <w:tc>
          <w:tcPr>
            <w:tcW w:w="2254" w:type="dxa"/>
            <w:tcBorders>
              <w:top w:val="single" w:sz="4" w:space="0" w:color="E40037"/>
              <w:left w:val="single" w:sz="4" w:space="0" w:color="E40037"/>
              <w:bottom w:val="single" w:sz="4" w:space="0" w:color="E40037"/>
              <w:right w:val="single" w:sz="4" w:space="0" w:color="E40037"/>
            </w:tcBorders>
          </w:tcPr>
          <w:p w14:paraId="7C2040F5" w14:textId="77777777" w:rsidR="00A20F86" w:rsidRPr="00A20F86" w:rsidRDefault="00A20F86" w:rsidP="00A20F86">
            <w:pPr>
              <w:jc w:val="right"/>
              <w:rPr>
                <w:rFonts w:ascii="Arial" w:hAnsi="Arial" w:cs="Arial"/>
              </w:rPr>
            </w:pPr>
            <w:r w:rsidRPr="00A20F86">
              <w:rPr>
                <w:rFonts w:ascii="Arial" w:hAnsi="Arial" w:cs="Arial"/>
              </w:rPr>
              <w:t>(13.1)</w:t>
            </w:r>
          </w:p>
        </w:tc>
        <w:tc>
          <w:tcPr>
            <w:tcW w:w="2254" w:type="dxa"/>
            <w:tcBorders>
              <w:top w:val="single" w:sz="4" w:space="0" w:color="E40037"/>
              <w:left w:val="single" w:sz="4" w:space="0" w:color="E40037"/>
              <w:bottom w:val="single" w:sz="4" w:space="0" w:color="E40037"/>
              <w:right w:val="single" w:sz="4" w:space="0" w:color="E40037"/>
            </w:tcBorders>
          </w:tcPr>
          <w:p w14:paraId="7C68F51B" w14:textId="77777777" w:rsidR="00A20F86" w:rsidRPr="00A20F86" w:rsidRDefault="00A20F86" w:rsidP="00A20F86">
            <w:pPr>
              <w:jc w:val="right"/>
              <w:rPr>
                <w:rFonts w:ascii="Arial" w:hAnsi="Arial" w:cs="Arial"/>
              </w:rPr>
            </w:pPr>
            <w:r w:rsidRPr="00A20F86">
              <w:rPr>
                <w:rFonts w:ascii="Arial" w:hAnsi="Arial" w:cs="Arial"/>
              </w:rPr>
              <w:t>(13.3)</w:t>
            </w:r>
          </w:p>
        </w:tc>
        <w:tc>
          <w:tcPr>
            <w:tcW w:w="2254" w:type="dxa"/>
            <w:tcBorders>
              <w:top w:val="single" w:sz="4" w:space="0" w:color="E40037"/>
              <w:left w:val="single" w:sz="4" w:space="0" w:color="E40037"/>
              <w:bottom w:val="single" w:sz="4" w:space="0" w:color="E40037"/>
              <w:right w:val="single" w:sz="4" w:space="0" w:color="E40037"/>
            </w:tcBorders>
          </w:tcPr>
          <w:p w14:paraId="6190019F" w14:textId="77777777" w:rsidR="00A20F86" w:rsidRPr="00A20F86" w:rsidRDefault="00A20F86" w:rsidP="00A20F86">
            <w:pPr>
              <w:jc w:val="right"/>
              <w:rPr>
                <w:rFonts w:ascii="Arial" w:hAnsi="Arial" w:cs="Arial"/>
              </w:rPr>
            </w:pPr>
            <w:r w:rsidRPr="00A20F86">
              <w:rPr>
                <w:rFonts w:ascii="Arial" w:hAnsi="Arial" w:cs="Arial"/>
              </w:rPr>
              <w:t>(0.2)</w:t>
            </w:r>
          </w:p>
        </w:tc>
      </w:tr>
      <w:tr w:rsidR="00A20F86" w:rsidRPr="00A20F86" w14:paraId="1EB28960" w14:textId="77777777" w:rsidTr="00697A4E">
        <w:tc>
          <w:tcPr>
            <w:tcW w:w="2254" w:type="dxa"/>
            <w:tcBorders>
              <w:top w:val="single" w:sz="4" w:space="0" w:color="E40037"/>
              <w:left w:val="single" w:sz="4" w:space="0" w:color="E40037"/>
              <w:bottom w:val="single" w:sz="4" w:space="0" w:color="E40037"/>
              <w:right w:val="single" w:sz="4" w:space="0" w:color="E40037"/>
            </w:tcBorders>
          </w:tcPr>
          <w:p w14:paraId="13FAFBB9" w14:textId="77777777" w:rsidR="00A20F86" w:rsidRPr="00A20F86" w:rsidRDefault="00A20F86" w:rsidP="00A20F86">
            <w:pPr>
              <w:rPr>
                <w:rFonts w:ascii="Arial" w:hAnsi="Arial" w:cs="Arial"/>
                <w:b/>
                <w:bCs/>
              </w:rPr>
            </w:pPr>
            <w:r w:rsidRPr="00A20F86">
              <w:rPr>
                <w:rFonts w:ascii="Arial" w:hAnsi="Arial" w:cs="Arial"/>
                <w:b/>
                <w:bCs/>
              </w:rPr>
              <w:t>Allocation to Schools</w:t>
            </w:r>
          </w:p>
        </w:tc>
        <w:tc>
          <w:tcPr>
            <w:tcW w:w="2254" w:type="dxa"/>
            <w:tcBorders>
              <w:top w:val="single" w:sz="4" w:space="0" w:color="E40037"/>
              <w:left w:val="single" w:sz="4" w:space="0" w:color="E40037"/>
              <w:bottom w:val="single" w:sz="4" w:space="0" w:color="E40037"/>
              <w:right w:val="single" w:sz="4" w:space="0" w:color="E40037"/>
            </w:tcBorders>
          </w:tcPr>
          <w:p w14:paraId="1E979FE2" w14:textId="77777777" w:rsidR="00A20F86" w:rsidRPr="00A20F86" w:rsidRDefault="00A20F86" w:rsidP="00A20F86">
            <w:pPr>
              <w:jc w:val="right"/>
              <w:rPr>
                <w:rFonts w:ascii="Arial" w:hAnsi="Arial" w:cs="Arial"/>
                <w:b/>
                <w:bCs/>
              </w:rPr>
            </w:pPr>
            <w:r w:rsidRPr="00A20F86">
              <w:rPr>
                <w:rFonts w:ascii="Arial" w:hAnsi="Arial" w:cs="Arial"/>
                <w:b/>
                <w:bCs/>
              </w:rPr>
              <w:t>1,289.3</w:t>
            </w:r>
          </w:p>
        </w:tc>
        <w:tc>
          <w:tcPr>
            <w:tcW w:w="2254" w:type="dxa"/>
            <w:tcBorders>
              <w:top w:val="single" w:sz="4" w:space="0" w:color="E40037"/>
              <w:left w:val="single" w:sz="4" w:space="0" w:color="E40037"/>
              <w:bottom w:val="single" w:sz="4" w:space="0" w:color="E40037"/>
              <w:right w:val="single" w:sz="4" w:space="0" w:color="E40037"/>
            </w:tcBorders>
          </w:tcPr>
          <w:p w14:paraId="39DD5301" w14:textId="77777777" w:rsidR="00A20F86" w:rsidRPr="00A20F86" w:rsidRDefault="00A20F86" w:rsidP="00A20F86">
            <w:pPr>
              <w:jc w:val="right"/>
              <w:rPr>
                <w:rFonts w:ascii="Arial" w:hAnsi="Arial" w:cs="Arial"/>
                <w:b/>
                <w:bCs/>
              </w:rPr>
            </w:pPr>
            <w:r w:rsidRPr="00A20F86">
              <w:rPr>
                <w:rFonts w:ascii="Arial" w:hAnsi="Arial" w:cs="Arial"/>
                <w:b/>
                <w:bCs/>
              </w:rPr>
              <w:t>1,307.4</w:t>
            </w:r>
          </w:p>
        </w:tc>
        <w:tc>
          <w:tcPr>
            <w:tcW w:w="2254" w:type="dxa"/>
            <w:tcBorders>
              <w:top w:val="single" w:sz="4" w:space="0" w:color="E40037"/>
              <w:left w:val="single" w:sz="4" w:space="0" w:color="E40037"/>
              <w:bottom w:val="single" w:sz="4" w:space="0" w:color="E40037"/>
              <w:right w:val="single" w:sz="4" w:space="0" w:color="E40037"/>
            </w:tcBorders>
          </w:tcPr>
          <w:p w14:paraId="7AC62626" w14:textId="77777777" w:rsidR="00A20F86" w:rsidRPr="00A20F86" w:rsidRDefault="00A20F86" w:rsidP="00A20F86">
            <w:pPr>
              <w:jc w:val="right"/>
              <w:rPr>
                <w:rFonts w:ascii="Arial" w:hAnsi="Arial" w:cs="Arial"/>
                <w:b/>
                <w:bCs/>
              </w:rPr>
            </w:pPr>
            <w:r w:rsidRPr="00A20F86">
              <w:rPr>
                <w:rFonts w:ascii="Arial" w:hAnsi="Arial" w:cs="Arial"/>
                <w:b/>
                <w:bCs/>
              </w:rPr>
              <w:t>18.1</w:t>
            </w:r>
          </w:p>
        </w:tc>
      </w:tr>
    </w:tbl>
    <w:p w14:paraId="424CEE3C" w14:textId="77777777" w:rsidR="00A20F86" w:rsidRPr="00A20F86" w:rsidRDefault="00A20F86" w:rsidP="00A20F86">
      <w:pPr>
        <w:spacing w:after="0" w:line="259" w:lineRule="auto"/>
        <w:ind w:left="567" w:hanging="567"/>
        <w:rPr>
          <w:rFonts w:ascii="Arial" w:eastAsia="Times New Roman" w:hAnsi="Arial" w:cs="Times New Roman"/>
          <w:bCs/>
          <w:kern w:val="0"/>
          <w:lang w:eastAsia="en-GB"/>
          <w14:ligatures w14:val="none"/>
        </w:rPr>
      </w:pPr>
    </w:p>
    <w:p w14:paraId="1C5C3CC8" w14:textId="77777777" w:rsidR="00A20F86" w:rsidRPr="00A20F86" w:rsidRDefault="00A20F86" w:rsidP="00A20F86">
      <w:pPr>
        <w:spacing w:after="0" w:line="240" w:lineRule="auto"/>
        <w:ind w:left="567" w:hanging="567"/>
        <w:rPr>
          <w:rFonts w:ascii="Arial" w:eastAsia="Times New Roman" w:hAnsi="Arial" w:cs="Arial"/>
          <w:kern w:val="0"/>
          <w:lang w:eastAsia="en-GB"/>
          <w14:ligatures w14:val="none"/>
        </w:rPr>
      </w:pPr>
      <w:r w:rsidRPr="00A20F86">
        <w:rPr>
          <w:rFonts w:ascii="Arial" w:eastAsia="Times New Roman" w:hAnsi="Arial" w:cs="Times New Roman"/>
          <w:bCs/>
          <w:kern w:val="0"/>
          <w:lang w:eastAsia="en-GB"/>
          <w14:ligatures w14:val="none"/>
        </w:rPr>
        <w:t>7.2</w:t>
      </w:r>
      <w:r w:rsidRPr="00A20F86">
        <w:rPr>
          <w:rFonts w:ascii="Arial" w:eastAsia="Times New Roman" w:hAnsi="Arial" w:cs="Times New Roman"/>
          <w:bCs/>
          <w:kern w:val="0"/>
          <w:lang w:eastAsia="en-GB"/>
          <w14:ligatures w14:val="none"/>
        </w:rPr>
        <w:tab/>
        <w:t xml:space="preserve">The comparison with 2026/27, shows that the impact for schools </w:t>
      </w:r>
      <w:r w:rsidRPr="00A20F86">
        <w:rPr>
          <w:rFonts w:ascii="Arial" w:eastAsia="Times New Roman" w:hAnsi="Arial" w:cs="Arial"/>
          <w:kern w:val="0"/>
          <w:lang w:eastAsia="en-GB"/>
          <w14:ligatures w14:val="none"/>
        </w:rPr>
        <w:t>resulting from the proposal to transfer 1% to the Schools Block is c.£200,000. This is due to the previous year’s transfer being added back as transfers are for one year only.</w:t>
      </w:r>
    </w:p>
    <w:p w14:paraId="199474FD" w14:textId="77777777" w:rsidR="00A20F86" w:rsidRPr="00A20F86" w:rsidRDefault="00A20F86" w:rsidP="00A20F86">
      <w:pPr>
        <w:spacing w:after="0" w:line="240" w:lineRule="auto"/>
        <w:ind w:left="567" w:hanging="567"/>
        <w:rPr>
          <w:rFonts w:ascii="Arial" w:eastAsia="Times New Roman" w:hAnsi="Arial" w:cs="Arial"/>
          <w:kern w:val="0"/>
          <w:lang w:eastAsia="en-GB"/>
          <w14:ligatures w14:val="none"/>
        </w:rPr>
      </w:pPr>
    </w:p>
    <w:p w14:paraId="6F58C774" w14:textId="77777777" w:rsidR="00A20F86" w:rsidRPr="00A20F86" w:rsidRDefault="00A20F86" w:rsidP="00A20F86">
      <w:pPr>
        <w:spacing w:after="0" w:line="240" w:lineRule="auto"/>
        <w:ind w:left="567" w:hanging="567"/>
        <w:rPr>
          <w:rFonts w:ascii="Arial" w:eastAsia="Times New Roman" w:hAnsi="Arial" w:cs="Arial"/>
          <w:kern w:val="0"/>
          <w:lang w:eastAsia="en-GB"/>
          <w14:ligatures w14:val="none"/>
        </w:rPr>
      </w:pPr>
      <w:r w:rsidRPr="00A20F86">
        <w:rPr>
          <w:rFonts w:ascii="Arial" w:eastAsia="Times New Roman" w:hAnsi="Arial" w:cs="Arial"/>
          <w:kern w:val="0"/>
          <w:lang w:eastAsia="en-GB"/>
          <w14:ligatures w14:val="none"/>
        </w:rPr>
        <w:t>7.3</w:t>
      </w:r>
      <w:r w:rsidRPr="00A20F86">
        <w:rPr>
          <w:rFonts w:ascii="Arial" w:eastAsia="Times New Roman" w:hAnsi="Arial" w:cs="Arial"/>
          <w:kern w:val="0"/>
          <w:lang w:eastAsia="en-GB"/>
          <w14:ligatures w14:val="none"/>
        </w:rPr>
        <w:tab/>
        <w:t>Schools will receive in full any increase in funding for 2027/28 except for £200,000 which is the increase in the transfer to the high needs block compared to the transfer in 2026/27.</w:t>
      </w:r>
    </w:p>
    <w:p w14:paraId="3BE89A29" w14:textId="77777777" w:rsidR="00A20F86" w:rsidRPr="00A20F86" w:rsidRDefault="00A20F86" w:rsidP="00A20F86">
      <w:pPr>
        <w:spacing w:after="0" w:line="259" w:lineRule="auto"/>
        <w:ind w:left="567" w:hanging="567"/>
        <w:rPr>
          <w:rFonts w:ascii="Arial" w:eastAsia="Times New Roman" w:hAnsi="Arial" w:cs="Times New Roman"/>
          <w:bCs/>
          <w:kern w:val="0"/>
          <w:lang w:eastAsia="en-GB"/>
          <w14:ligatures w14:val="none"/>
        </w:rPr>
      </w:pPr>
    </w:p>
    <w:p w14:paraId="656EFBD2" w14:textId="77777777" w:rsidR="00A20F86" w:rsidRPr="00A20F86" w:rsidRDefault="00A20F86" w:rsidP="00A20F86">
      <w:pPr>
        <w:spacing w:after="0" w:line="259"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bCs/>
          <w:kern w:val="0"/>
          <w:lang w:eastAsia="en-GB"/>
          <w14:ligatures w14:val="none"/>
        </w:rPr>
        <w:t>7.4</w:t>
      </w:r>
      <w:r w:rsidRPr="00A20F86">
        <w:rPr>
          <w:rFonts w:ascii="Arial" w:eastAsia="Times New Roman" w:hAnsi="Arial" w:cs="Times New Roman"/>
          <w:bCs/>
          <w:kern w:val="0"/>
          <w:lang w:eastAsia="en-GB"/>
          <w14:ligatures w14:val="none"/>
        </w:rPr>
        <w:tab/>
      </w:r>
      <w:r w:rsidRPr="00A20F86">
        <w:rPr>
          <w:rFonts w:ascii="Arial" w:eastAsia="Times New Roman" w:hAnsi="Arial" w:cs="Times New Roman"/>
          <w:kern w:val="0"/>
          <w:lang w:eastAsia="en-GB"/>
          <w14:ligatures w14:val="none"/>
        </w:rPr>
        <w:t>The Authority proposes to transfer 1% (c.£13.3m) to reduce the deficit in 2027/28, which the joint meeting of FRG / HNRG recommends that Schools Forum supports the proposal.</w:t>
      </w:r>
      <w:r w:rsidRPr="00A20F86">
        <w:rPr>
          <w:rFonts w:ascii="Arial" w:eastAsia="Times New Roman" w:hAnsi="Arial" w:cs="Times New Roman"/>
          <w:kern w:val="0"/>
          <w:lang w:eastAsia="en-GB"/>
          <w14:ligatures w14:val="none"/>
        </w:rPr>
        <w:br/>
      </w:r>
      <w:r w:rsidRPr="00A20F86">
        <w:rPr>
          <w:rFonts w:ascii="Arial" w:eastAsia="Times New Roman" w:hAnsi="Arial" w:cs="Times New Roman"/>
          <w:kern w:val="0"/>
          <w:lang w:eastAsia="en-GB"/>
          <w14:ligatures w14:val="none"/>
        </w:rPr>
        <w:tab/>
      </w:r>
      <w:r w:rsidRPr="00A20F86">
        <w:rPr>
          <w:rFonts w:ascii="Arial" w:eastAsia="Times New Roman" w:hAnsi="Arial" w:cs="Times New Roman"/>
          <w:kern w:val="0"/>
          <w:lang w:eastAsia="en-GB"/>
          <w14:ligatures w14:val="none"/>
        </w:rPr>
        <w:tab/>
      </w:r>
    </w:p>
    <w:p w14:paraId="6DBF9AD3" w14:textId="77777777" w:rsidR="00A20F86" w:rsidRPr="00A20F86" w:rsidRDefault="00A20F86" w:rsidP="00A20F86">
      <w:pPr>
        <w:spacing w:after="0" w:line="259"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7.5</w:t>
      </w:r>
      <w:r w:rsidRPr="00A20F86">
        <w:rPr>
          <w:rFonts w:ascii="Arial" w:eastAsia="Times New Roman" w:hAnsi="Arial" w:cs="Times New Roman"/>
          <w:kern w:val="0"/>
          <w:lang w:eastAsia="en-GB"/>
          <w14:ligatures w14:val="none"/>
        </w:rPr>
        <w:tab/>
        <w:t xml:space="preserve">It is to be noted that £13.3m is an estimate and the final financial value may change depending on the funding settlement. </w:t>
      </w:r>
    </w:p>
    <w:p w14:paraId="6AA3944D" w14:textId="77777777" w:rsidR="00A20F86" w:rsidRPr="00A20F86" w:rsidRDefault="00A20F86" w:rsidP="00A20F86">
      <w:pPr>
        <w:spacing w:after="0" w:line="259" w:lineRule="auto"/>
        <w:ind w:left="567" w:hanging="567"/>
        <w:rPr>
          <w:rFonts w:ascii="Arial" w:eastAsia="Times New Roman" w:hAnsi="Arial" w:cs="Times New Roman"/>
          <w:kern w:val="0"/>
          <w:lang w:eastAsia="en-GB"/>
          <w14:ligatures w14:val="none"/>
        </w:rPr>
      </w:pPr>
    </w:p>
    <w:p w14:paraId="207D2D5C" w14:textId="77777777" w:rsidR="00A20F86" w:rsidRP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7.6</w:t>
      </w:r>
      <w:r w:rsidRPr="00A20F86">
        <w:rPr>
          <w:rFonts w:ascii="Arial" w:eastAsia="Times New Roman" w:hAnsi="Arial" w:cs="Times New Roman"/>
          <w:kern w:val="0"/>
          <w:lang w:eastAsia="en-GB"/>
          <w14:ligatures w14:val="none"/>
        </w:rPr>
        <w:tab/>
        <w:t>The impact of the proposed 1% transfer compared to the 1% transfer in 2026/27 increases the primary basic entitlement by £89.43, the key stage 3 basic entitlement by £96.20 and the key stage 4 basic entitlement by £110.74 based on the funding shown in Table 7.</w:t>
      </w:r>
    </w:p>
    <w:p w14:paraId="7D41DEA9" w14:textId="77777777" w:rsidR="00A20F86" w:rsidRP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p>
    <w:p w14:paraId="6307FB18" w14:textId="77777777" w:rsidR="00A20F86" w:rsidRP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7.7</w:t>
      </w:r>
      <w:r w:rsidRPr="00A20F86">
        <w:rPr>
          <w:rFonts w:ascii="Arial" w:eastAsia="Times New Roman" w:hAnsi="Arial" w:cs="Times New Roman"/>
          <w:kern w:val="0"/>
          <w:lang w:eastAsia="en-GB"/>
          <w14:ligatures w14:val="none"/>
        </w:rPr>
        <w:tab/>
        <w:t xml:space="preserve">Annex A shows a breakdown by school of the 2026/27 allocation and forecast 2027/28 allocation assuming a 1% schools block transfer. It can be seen in Annex A, that Montgomery Primary has a decrease of £55,601 due to the removal of the additional lump sum (£107,284), which is not protected by the minimum funding guarantee. </w:t>
      </w:r>
    </w:p>
    <w:p w14:paraId="4438B1BE"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ab/>
      </w:r>
    </w:p>
    <w:p w14:paraId="4E07A0B0"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7.8</w:t>
      </w:r>
      <w:r w:rsidRPr="00A20F86">
        <w:rPr>
          <w:rFonts w:ascii="Arial" w:eastAsia="Times New Roman" w:hAnsi="Arial" w:cs="Times New Roman"/>
          <w:bCs/>
          <w:kern w:val="0"/>
          <w:lang w:eastAsia="en-GB"/>
          <w14:ligatures w14:val="none"/>
        </w:rPr>
        <w:tab/>
      </w:r>
      <w:r w:rsidRPr="00A20F86">
        <w:rPr>
          <w:rFonts w:ascii="Arial" w:eastAsia="Times New Roman" w:hAnsi="Arial" w:cs="Times New Roman"/>
          <w:b/>
          <w:kern w:val="0"/>
          <w:lang w:eastAsia="en-GB"/>
          <w14:ligatures w14:val="none"/>
        </w:rPr>
        <w:t xml:space="preserve">Table 8 </w:t>
      </w:r>
      <w:r w:rsidRPr="00A20F86">
        <w:rPr>
          <w:rFonts w:ascii="Arial" w:eastAsia="Times New Roman" w:hAnsi="Arial" w:cs="Times New Roman"/>
          <w:bCs/>
          <w:kern w:val="0"/>
          <w:lang w:eastAsia="en-GB"/>
          <w14:ligatures w14:val="none"/>
        </w:rPr>
        <w:t xml:space="preserve">shows the forecast High Needs Block position based on the forecast increase in demand, price and the increasing complexity of pupils excluding </w:t>
      </w:r>
      <w:r w:rsidRPr="00A20F86">
        <w:rPr>
          <w:rFonts w:ascii="Arial" w:eastAsia="Times New Roman" w:hAnsi="Arial" w:cs="Times New Roman"/>
          <w:bCs/>
          <w:kern w:val="0"/>
          <w:lang w:eastAsia="en-GB"/>
          <w14:ligatures w14:val="none"/>
        </w:rPr>
        <w:lastRenderedPageBreak/>
        <w:t>any block transfers and other government support in the form of the High Needs Stability Grant.</w:t>
      </w:r>
    </w:p>
    <w:p w14:paraId="15AC518A"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ab/>
      </w:r>
    </w:p>
    <w:tbl>
      <w:tblPr>
        <w:tblW w:w="9072" w:type="dxa"/>
        <w:tblInd w:w="55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895"/>
        <w:gridCol w:w="1354"/>
        <w:gridCol w:w="1354"/>
        <w:gridCol w:w="1359"/>
        <w:gridCol w:w="1110"/>
      </w:tblGrid>
      <w:tr w:rsidR="00A20F86" w:rsidRPr="00A20F86" w14:paraId="2811EBB1" w14:textId="77777777" w:rsidTr="00697A4E">
        <w:trPr>
          <w:trHeight w:val="860"/>
        </w:trPr>
        <w:tc>
          <w:tcPr>
            <w:tcW w:w="3895" w:type="dxa"/>
            <w:tcBorders>
              <w:top w:val="single" w:sz="4" w:space="0" w:color="FF0000"/>
              <w:left w:val="dotted" w:sz="4" w:space="0" w:color="FF0000"/>
              <w:bottom w:val="single" w:sz="4" w:space="0" w:color="E40037"/>
              <w:right w:val="single" w:sz="4" w:space="0" w:color="E40037"/>
            </w:tcBorders>
            <w:shd w:val="clear" w:color="000000" w:fill="E40037"/>
            <w:hideMark/>
          </w:tcPr>
          <w:p w14:paraId="0EC0C732" w14:textId="77777777" w:rsidR="00A20F86" w:rsidRPr="00A20F86" w:rsidRDefault="00A20F86" w:rsidP="00A20F86">
            <w:pPr>
              <w:spacing w:after="0" w:line="240" w:lineRule="auto"/>
              <w:rPr>
                <w:rFonts w:ascii="Arial" w:eastAsia="Times New Roman" w:hAnsi="Arial" w:cs="Arial"/>
                <w:kern w:val="0"/>
                <w:sz w:val="20"/>
                <w:szCs w:val="20"/>
                <w:lang w:eastAsia="en-GB"/>
                <w14:ligatures w14:val="none"/>
              </w:rPr>
            </w:pPr>
            <w:r w:rsidRPr="00A20F86">
              <w:rPr>
                <w:rFonts w:ascii="Arial" w:eastAsia="Times New Roman" w:hAnsi="Arial" w:cs="Times New Roman"/>
                <w:bCs/>
                <w:kern w:val="0"/>
                <w:lang w:eastAsia="en-GB"/>
                <w14:ligatures w14:val="none"/>
              </w:rPr>
              <w:t xml:space="preserve"> </w:t>
            </w:r>
            <w:r w:rsidRPr="00A20F86">
              <w:rPr>
                <w:rFonts w:ascii="Arial" w:eastAsia="Times New Roman" w:hAnsi="Arial" w:cs="Arial"/>
                <w:kern w:val="0"/>
                <w:sz w:val="20"/>
                <w:szCs w:val="20"/>
                <w:lang w:eastAsia="en-GB"/>
                <w14:ligatures w14:val="none"/>
              </w:rPr>
              <w:t> </w:t>
            </w:r>
          </w:p>
        </w:tc>
        <w:tc>
          <w:tcPr>
            <w:tcW w:w="1354" w:type="dxa"/>
            <w:tcBorders>
              <w:top w:val="single" w:sz="4" w:space="0" w:color="FF0000"/>
              <w:left w:val="single" w:sz="4" w:space="0" w:color="E40037"/>
              <w:bottom w:val="single" w:sz="4" w:space="0" w:color="E40037"/>
              <w:right w:val="single" w:sz="4" w:space="0" w:color="E40037"/>
            </w:tcBorders>
            <w:shd w:val="clear" w:color="000000" w:fill="E40037"/>
            <w:vAlign w:val="bottom"/>
            <w:hideMark/>
          </w:tcPr>
          <w:p w14:paraId="14A67526" w14:textId="77777777" w:rsidR="00A20F86" w:rsidRPr="00A20F86" w:rsidRDefault="00A20F86" w:rsidP="00A20F86">
            <w:pPr>
              <w:spacing w:after="0" w:line="240" w:lineRule="auto"/>
              <w:jc w:val="center"/>
              <w:rPr>
                <w:rFonts w:ascii="Arial" w:eastAsia="Times New Roman" w:hAnsi="Arial" w:cs="Arial"/>
                <w:b/>
                <w:bCs/>
                <w:color w:val="FFFFFF"/>
                <w:kern w:val="0"/>
                <w:sz w:val="20"/>
                <w:szCs w:val="20"/>
                <w:lang w:eastAsia="en-GB"/>
                <w14:ligatures w14:val="none"/>
              </w:rPr>
            </w:pPr>
            <w:r w:rsidRPr="00A20F86">
              <w:rPr>
                <w:rFonts w:ascii="Arial" w:eastAsia="Times New Roman" w:hAnsi="Arial" w:cs="Arial"/>
                <w:b/>
                <w:bCs/>
                <w:color w:val="FFFFFF"/>
                <w:kern w:val="0"/>
                <w:sz w:val="20"/>
                <w:szCs w:val="20"/>
                <w:lang w:eastAsia="en-GB"/>
                <w14:ligatures w14:val="none"/>
              </w:rPr>
              <w:t>2026/27 Budget   £000</w:t>
            </w:r>
          </w:p>
        </w:tc>
        <w:tc>
          <w:tcPr>
            <w:tcW w:w="1354" w:type="dxa"/>
            <w:tcBorders>
              <w:top w:val="single" w:sz="4" w:space="0" w:color="FF0000"/>
              <w:left w:val="single" w:sz="4" w:space="0" w:color="E40037"/>
              <w:bottom w:val="single" w:sz="4" w:space="0" w:color="E40037"/>
              <w:right w:val="single" w:sz="4" w:space="0" w:color="E40037"/>
            </w:tcBorders>
            <w:shd w:val="clear" w:color="000000" w:fill="E40037"/>
            <w:vAlign w:val="bottom"/>
            <w:hideMark/>
          </w:tcPr>
          <w:p w14:paraId="50E8FE2F" w14:textId="77777777" w:rsidR="00A20F86" w:rsidRPr="00A20F86" w:rsidRDefault="00A20F86" w:rsidP="00A20F86">
            <w:pPr>
              <w:spacing w:after="0" w:line="240" w:lineRule="auto"/>
              <w:jc w:val="center"/>
              <w:rPr>
                <w:rFonts w:ascii="Arial" w:eastAsia="Times New Roman" w:hAnsi="Arial" w:cs="Arial"/>
                <w:b/>
                <w:bCs/>
                <w:color w:val="FFFFFF"/>
                <w:kern w:val="0"/>
                <w:sz w:val="20"/>
                <w:szCs w:val="20"/>
                <w:lang w:eastAsia="en-GB"/>
                <w14:ligatures w14:val="none"/>
              </w:rPr>
            </w:pPr>
            <w:r w:rsidRPr="00A20F86">
              <w:rPr>
                <w:rFonts w:ascii="Arial" w:eastAsia="Times New Roman" w:hAnsi="Arial" w:cs="Arial"/>
                <w:b/>
                <w:bCs/>
                <w:color w:val="FFFFFF"/>
                <w:kern w:val="0"/>
                <w:sz w:val="20"/>
                <w:szCs w:val="20"/>
                <w:lang w:eastAsia="en-GB"/>
                <w14:ligatures w14:val="none"/>
              </w:rPr>
              <w:t>2026/27 Outturn £000</w:t>
            </w:r>
          </w:p>
        </w:tc>
        <w:tc>
          <w:tcPr>
            <w:tcW w:w="1359" w:type="dxa"/>
            <w:tcBorders>
              <w:top w:val="single" w:sz="4" w:space="0" w:color="FF0000"/>
              <w:left w:val="single" w:sz="4" w:space="0" w:color="E40037"/>
              <w:bottom w:val="single" w:sz="4" w:space="0" w:color="E40037"/>
              <w:right w:val="single" w:sz="4" w:space="0" w:color="E40037"/>
            </w:tcBorders>
            <w:shd w:val="clear" w:color="000000" w:fill="E40037"/>
            <w:vAlign w:val="bottom"/>
            <w:hideMark/>
          </w:tcPr>
          <w:p w14:paraId="156C2093" w14:textId="77777777" w:rsidR="00A20F86" w:rsidRPr="00A20F86" w:rsidRDefault="00A20F86" w:rsidP="00A20F86">
            <w:pPr>
              <w:spacing w:after="0" w:line="240" w:lineRule="auto"/>
              <w:jc w:val="center"/>
              <w:rPr>
                <w:rFonts w:ascii="Arial" w:eastAsia="Times New Roman" w:hAnsi="Arial" w:cs="Arial"/>
                <w:b/>
                <w:bCs/>
                <w:color w:val="FFFFFF"/>
                <w:kern w:val="0"/>
                <w:sz w:val="20"/>
                <w:szCs w:val="20"/>
                <w:lang w:eastAsia="en-GB"/>
                <w14:ligatures w14:val="none"/>
              </w:rPr>
            </w:pPr>
            <w:r w:rsidRPr="00A20F86">
              <w:rPr>
                <w:rFonts w:ascii="Arial" w:eastAsia="Times New Roman" w:hAnsi="Arial" w:cs="Arial"/>
                <w:b/>
                <w:bCs/>
                <w:color w:val="FFFFFF"/>
                <w:kern w:val="0"/>
                <w:sz w:val="20"/>
                <w:szCs w:val="20"/>
                <w:lang w:eastAsia="en-GB"/>
                <w14:ligatures w14:val="none"/>
              </w:rPr>
              <w:t>2027/28   £000</w:t>
            </w:r>
          </w:p>
        </w:tc>
        <w:tc>
          <w:tcPr>
            <w:tcW w:w="1110" w:type="dxa"/>
            <w:tcBorders>
              <w:top w:val="single" w:sz="4" w:space="0" w:color="FF0000"/>
              <w:left w:val="single" w:sz="4" w:space="0" w:color="E40037"/>
              <w:bottom w:val="single" w:sz="4" w:space="0" w:color="E40037"/>
              <w:right w:val="dotted" w:sz="4" w:space="0" w:color="FF0000"/>
            </w:tcBorders>
            <w:shd w:val="clear" w:color="000000" w:fill="E40037"/>
            <w:vAlign w:val="bottom"/>
            <w:hideMark/>
          </w:tcPr>
          <w:p w14:paraId="702A7686" w14:textId="77777777" w:rsidR="00A20F86" w:rsidRPr="00A20F86" w:rsidRDefault="00A20F86" w:rsidP="00A20F86">
            <w:pPr>
              <w:spacing w:after="0" w:line="240" w:lineRule="auto"/>
              <w:jc w:val="center"/>
              <w:rPr>
                <w:rFonts w:ascii="Arial" w:eastAsia="Times New Roman" w:hAnsi="Arial" w:cs="Arial"/>
                <w:b/>
                <w:bCs/>
                <w:color w:val="FFFFFF"/>
                <w:kern w:val="0"/>
                <w:lang w:eastAsia="en-GB"/>
                <w14:ligatures w14:val="none"/>
              </w:rPr>
            </w:pPr>
            <w:r w:rsidRPr="00A20F86">
              <w:rPr>
                <w:rFonts w:ascii="Arial" w:eastAsia="Times New Roman" w:hAnsi="Arial" w:cs="Arial"/>
                <w:b/>
                <w:bCs/>
                <w:color w:val="FFFFFF"/>
                <w:kern w:val="0"/>
                <w:sz w:val="22"/>
                <w:szCs w:val="22"/>
                <w:lang w:eastAsia="en-GB"/>
                <w14:ligatures w14:val="none"/>
              </w:rPr>
              <w:t>2028/29  £000</w:t>
            </w:r>
          </w:p>
        </w:tc>
      </w:tr>
      <w:tr w:rsidR="00A20F86" w:rsidRPr="00A20F86" w14:paraId="12F39466" w14:textId="77777777" w:rsidTr="00697A4E">
        <w:trPr>
          <w:trHeight w:val="310"/>
        </w:trPr>
        <w:tc>
          <w:tcPr>
            <w:tcW w:w="3895" w:type="dxa"/>
            <w:tcBorders>
              <w:top w:val="single" w:sz="4" w:space="0" w:color="E40037"/>
            </w:tcBorders>
            <w:vAlign w:val="center"/>
            <w:hideMark/>
          </w:tcPr>
          <w:p w14:paraId="528BA643" w14:textId="77777777" w:rsidR="00A20F86" w:rsidRPr="00A20F86" w:rsidRDefault="00A20F86" w:rsidP="00A20F86">
            <w:pPr>
              <w:spacing w:after="0" w:line="240" w:lineRule="auto"/>
              <w:rPr>
                <w:rFonts w:ascii="Arial" w:eastAsia="Times New Roman" w:hAnsi="Arial" w:cs="Arial"/>
                <w:b/>
                <w:bCs/>
                <w:kern w:val="0"/>
                <w:sz w:val="20"/>
                <w:szCs w:val="20"/>
                <w:lang w:eastAsia="en-GB"/>
                <w14:ligatures w14:val="none"/>
              </w:rPr>
            </w:pPr>
            <w:r w:rsidRPr="00A20F86">
              <w:rPr>
                <w:rFonts w:ascii="Arial" w:eastAsia="Times New Roman" w:hAnsi="Arial" w:cs="Arial"/>
                <w:b/>
                <w:bCs/>
                <w:kern w:val="0"/>
                <w:sz w:val="20"/>
                <w:szCs w:val="20"/>
                <w:lang w:eastAsia="en-GB"/>
                <w14:ligatures w14:val="none"/>
              </w:rPr>
              <w:t>Total Cost</w:t>
            </w:r>
          </w:p>
        </w:tc>
        <w:tc>
          <w:tcPr>
            <w:tcW w:w="1354" w:type="dxa"/>
            <w:tcBorders>
              <w:top w:val="single" w:sz="4" w:space="0" w:color="E40037"/>
            </w:tcBorders>
            <w:vAlign w:val="center"/>
          </w:tcPr>
          <w:p w14:paraId="527644AF" w14:textId="77777777" w:rsidR="00A20F86" w:rsidRPr="00A20F86" w:rsidRDefault="00A20F86" w:rsidP="00A20F86">
            <w:pPr>
              <w:spacing w:after="0" w:line="240" w:lineRule="auto"/>
              <w:jc w:val="center"/>
              <w:rPr>
                <w:rFonts w:ascii="Arial" w:eastAsia="Times New Roman" w:hAnsi="Arial" w:cs="Arial"/>
                <w:b/>
                <w:bCs/>
                <w:color w:val="000000"/>
                <w:kern w:val="0"/>
                <w:sz w:val="22"/>
                <w:szCs w:val="22"/>
                <w:lang w:eastAsia="en-GB"/>
                <w14:ligatures w14:val="none"/>
              </w:rPr>
            </w:pPr>
            <w:r w:rsidRPr="00A20F86">
              <w:rPr>
                <w:rFonts w:ascii="Arial" w:eastAsia="Times New Roman" w:hAnsi="Arial" w:cs="Arial"/>
                <w:b/>
                <w:bCs/>
                <w:color w:val="000000"/>
                <w:kern w:val="0"/>
                <w:sz w:val="20"/>
                <w:szCs w:val="20"/>
                <w:lang w:eastAsia="en-GB"/>
                <w14:ligatures w14:val="none"/>
              </w:rPr>
              <w:t>349,274</w:t>
            </w:r>
          </w:p>
        </w:tc>
        <w:tc>
          <w:tcPr>
            <w:tcW w:w="1354" w:type="dxa"/>
            <w:tcBorders>
              <w:top w:val="single" w:sz="4" w:space="0" w:color="E40037"/>
            </w:tcBorders>
            <w:vAlign w:val="center"/>
          </w:tcPr>
          <w:p w14:paraId="1E35E071"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352,490</w:t>
            </w:r>
          </w:p>
        </w:tc>
        <w:tc>
          <w:tcPr>
            <w:tcW w:w="1359" w:type="dxa"/>
            <w:tcBorders>
              <w:top w:val="single" w:sz="4" w:space="0" w:color="E40037"/>
            </w:tcBorders>
            <w:vAlign w:val="center"/>
          </w:tcPr>
          <w:p w14:paraId="13F013FD"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370,425</w:t>
            </w:r>
          </w:p>
        </w:tc>
        <w:tc>
          <w:tcPr>
            <w:tcW w:w="1110" w:type="dxa"/>
            <w:tcBorders>
              <w:top w:val="single" w:sz="4" w:space="0" w:color="E40037"/>
            </w:tcBorders>
            <w:vAlign w:val="center"/>
          </w:tcPr>
          <w:p w14:paraId="7C3B8894"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396,707</w:t>
            </w:r>
          </w:p>
        </w:tc>
      </w:tr>
      <w:tr w:rsidR="00A20F86" w:rsidRPr="00A20F86" w14:paraId="7166F008" w14:textId="77777777" w:rsidTr="00697A4E">
        <w:trPr>
          <w:trHeight w:val="310"/>
        </w:trPr>
        <w:tc>
          <w:tcPr>
            <w:tcW w:w="3895" w:type="dxa"/>
            <w:tcBorders>
              <w:top w:val="dotted" w:sz="4" w:space="0" w:color="FF0000"/>
            </w:tcBorders>
            <w:vAlign w:val="center"/>
          </w:tcPr>
          <w:p w14:paraId="2590BFA2" w14:textId="77777777" w:rsidR="00A20F86" w:rsidRPr="00A20F86" w:rsidRDefault="00A20F86" w:rsidP="00A20F86">
            <w:pPr>
              <w:spacing w:after="0" w:line="240" w:lineRule="auto"/>
              <w:rPr>
                <w:rFonts w:ascii="Arial" w:eastAsia="Times New Roman" w:hAnsi="Arial" w:cs="Arial"/>
                <w:b/>
                <w:bCs/>
                <w:kern w:val="0"/>
                <w:sz w:val="20"/>
                <w:szCs w:val="20"/>
                <w:lang w:eastAsia="en-GB"/>
                <w14:ligatures w14:val="none"/>
              </w:rPr>
            </w:pPr>
            <w:r w:rsidRPr="00A20F86">
              <w:rPr>
                <w:rFonts w:ascii="Arial" w:eastAsia="Times New Roman" w:hAnsi="Arial" w:cs="Arial"/>
                <w:b/>
                <w:bCs/>
                <w:kern w:val="0"/>
                <w:sz w:val="20"/>
                <w:szCs w:val="20"/>
                <w:lang w:eastAsia="en-GB"/>
                <w14:ligatures w14:val="none"/>
              </w:rPr>
              <w:t>Funding</w:t>
            </w:r>
          </w:p>
        </w:tc>
        <w:tc>
          <w:tcPr>
            <w:tcW w:w="1354" w:type="dxa"/>
            <w:tcBorders>
              <w:top w:val="dotted" w:sz="4" w:space="0" w:color="FF0000"/>
            </w:tcBorders>
            <w:vAlign w:val="center"/>
          </w:tcPr>
          <w:p w14:paraId="3D1474A1" w14:textId="77777777" w:rsidR="00A20F86" w:rsidRPr="00A20F86" w:rsidRDefault="00A20F86" w:rsidP="00A20F86">
            <w:pPr>
              <w:spacing w:after="0" w:line="240" w:lineRule="auto"/>
              <w:jc w:val="center"/>
              <w:rPr>
                <w:rFonts w:ascii="Arial" w:eastAsia="Times New Roman" w:hAnsi="Arial" w:cs="Arial"/>
                <w:b/>
                <w:bCs/>
                <w:kern w:val="0"/>
                <w:sz w:val="20"/>
                <w:szCs w:val="20"/>
                <w:lang w:eastAsia="en-GB"/>
                <w14:ligatures w14:val="none"/>
              </w:rPr>
            </w:pPr>
            <w:r w:rsidRPr="00A20F86">
              <w:rPr>
                <w:rFonts w:ascii="Arial" w:eastAsia="Times New Roman" w:hAnsi="Arial" w:cs="Arial"/>
                <w:b/>
                <w:bCs/>
                <w:kern w:val="0"/>
                <w:sz w:val="20"/>
                <w:szCs w:val="20"/>
                <w:lang w:eastAsia="en-GB"/>
                <w14:ligatures w14:val="none"/>
              </w:rPr>
              <w:t>(277,200)</w:t>
            </w:r>
          </w:p>
        </w:tc>
        <w:tc>
          <w:tcPr>
            <w:tcW w:w="1354" w:type="dxa"/>
            <w:tcBorders>
              <w:top w:val="dotted" w:sz="4" w:space="0" w:color="FF0000"/>
            </w:tcBorders>
            <w:vAlign w:val="center"/>
          </w:tcPr>
          <w:p w14:paraId="54CB28F7" w14:textId="77777777" w:rsidR="00A20F86" w:rsidRPr="00A20F86" w:rsidRDefault="00A20F86" w:rsidP="00A20F86">
            <w:pPr>
              <w:spacing w:after="0" w:line="240" w:lineRule="auto"/>
              <w:jc w:val="center"/>
              <w:rPr>
                <w:rFonts w:ascii="Arial" w:eastAsia="Times New Roman" w:hAnsi="Arial" w:cs="Arial"/>
                <w:b/>
                <w:bCs/>
                <w:kern w:val="0"/>
                <w:sz w:val="20"/>
                <w:szCs w:val="20"/>
                <w:lang w:eastAsia="en-GB"/>
                <w14:ligatures w14:val="none"/>
              </w:rPr>
            </w:pPr>
            <w:r w:rsidRPr="00A20F86">
              <w:rPr>
                <w:rFonts w:ascii="Arial" w:eastAsia="Times New Roman" w:hAnsi="Arial" w:cs="Arial"/>
                <w:b/>
                <w:bCs/>
                <w:kern w:val="0"/>
                <w:sz w:val="20"/>
                <w:szCs w:val="20"/>
                <w:lang w:eastAsia="en-GB"/>
                <w14:ligatures w14:val="none"/>
              </w:rPr>
              <w:t>(276,816)</w:t>
            </w:r>
          </w:p>
        </w:tc>
        <w:tc>
          <w:tcPr>
            <w:tcW w:w="1359" w:type="dxa"/>
            <w:tcBorders>
              <w:top w:val="dotted" w:sz="4" w:space="0" w:color="FF0000"/>
            </w:tcBorders>
            <w:vAlign w:val="center"/>
          </w:tcPr>
          <w:p w14:paraId="10EF7BD4" w14:textId="77777777" w:rsidR="00A20F86" w:rsidRPr="00A20F86" w:rsidRDefault="00A20F86" w:rsidP="00A20F86">
            <w:pPr>
              <w:spacing w:after="0" w:line="240" w:lineRule="auto"/>
              <w:jc w:val="center"/>
              <w:rPr>
                <w:rFonts w:ascii="Arial" w:eastAsia="Times New Roman" w:hAnsi="Arial" w:cs="Arial"/>
                <w:b/>
                <w:bCs/>
                <w:kern w:val="0"/>
                <w:sz w:val="20"/>
                <w:szCs w:val="20"/>
                <w:lang w:eastAsia="en-GB"/>
                <w14:ligatures w14:val="none"/>
              </w:rPr>
            </w:pPr>
            <w:r w:rsidRPr="00A20F86">
              <w:rPr>
                <w:rFonts w:ascii="Arial" w:eastAsia="Times New Roman" w:hAnsi="Arial" w:cs="Arial"/>
                <w:b/>
                <w:bCs/>
                <w:kern w:val="0"/>
                <w:sz w:val="20"/>
                <w:szCs w:val="20"/>
                <w:lang w:eastAsia="en-GB"/>
                <w14:ligatures w14:val="none"/>
              </w:rPr>
              <w:t>(276,816)</w:t>
            </w:r>
          </w:p>
        </w:tc>
        <w:tc>
          <w:tcPr>
            <w:tcW w:w="1110" w:type="dxa"/>
            <w:tcBorders>
              <w:top w:val="dotted" w:sz="4" w:space="0" w:color="FF0000"/>
            </w:tcBorders>
            <w:vAlign w:val="center"/>
          </w:tcPr>
          <w:p w14:paraId="4E6E1D4D" w14:textId="77777777" w:rsidR="00A20F86" w:rsidRPr="00A20F86" w:rsidRDefault="00A20F86" w:rsidP="00A20F86">
            <w:pPr>
              <w:spacing w:after="0" w:line="240" w:lineRule="auto"/>
              <w:jc w:val="center"/>
              <w:rPr>
                <w:rFonts w:ascii="Arial" w:eastAsia="Times New Roman" w:hAnsi="Arial" w:cs="Arial"/>
                <w:b/>
                <w:bCs/>
                <w:kern w:val="0"/>
                <w:sz w:val="20"/>
                <w:szCs w:val="20"/>
                <w:lang w:eastAsia="en-GB"/>
                <w14:ligatures w14:val="none"/>
              </w:rPr>
            </w:pPr>
            <w:r w:rsidRPr="00A20F86">
              <w:rPr>
                <w:rFonts w:ascii="Arial" w:eastAsia="Times New Roman" w:hAnsi="Arial" w:cs="Arial"/>
                <w:b/>
                <w:bCs/>
                <w:kern w:val="0"/>
                <w:sz w:val="20"/>
                <w:szCs w:val="20"/>
                <w:lang w:eastAsia="en-GB"/>
                <w14:ligatures w14:val="none"/>
              </w:rPr>
              <w:t>(276,816)</w:t>
            </w:r>
          </w:p>
        </w:tc>
      </w:tr>
      <w:tr w:rsidR="00A20F86" w:rsidRPr="00A20F86" w14:paraId="5A792670" w14:textId="77777777" w:rsidTr="00697A4E">
        <w:trPr>
          <w:trHeight w:val="310"/>
        </w:trPr>
        <w:tc>
          <w:tcPr>
            <w:tcW w:w="3895" w:type="dxa"/>
            <w:tcBorders>
              <w:top w:val="dotted" w:sz="4" w:space="0" w:color="FF0000"/>
            </w:tcBorders>
            <w:vAlign w:val="center"/>
          </w:tcPr>
          <w:p w14:paraId="151353AD" w14:textId="77777777" w:rsidR="00A20F86" w:rsidRPr="00A20F86" w:rsidRDefault="00A20F86" w:rsidP="00A20F86">
            <w:pPr>
              <w:spacing w:after="0" w:line="240" w:lineRule="auto"/>
              <w:rPr>
                <w:rFonts w:ascii="Arial" w:eastAsia="Times New Roman" w:hAnsi="Arial" w:cs="Arial"/>
                <w:b/>
                <w:bCs/>
                <w:color w:val="FF0000"/>
                <w:kern w:val="0"/>
                <w:sz w:val="20"/>
                <w:szCs w:val="20"/>
                <w:lang w:eastAsia="en-GB"/>
                <w14:ligatures w14:val="none"/>
              </w:rPr>
            </w:pPr>
            <w:r w:rsidRPr="00A20F86">
              <w:rPr>
                <w:rFonts w:ascii="Arial" w:eastAsia="Times New Roman" w:hAnsi="Arial" w:cs="Arial"/>
                <w:b/>
                <w:bCs/>
                <w:kern w:val="0"/>
                <w:sz w:val="20"/>
                <w:szCs w:val="20"/>
                <w:lang w:eastAsia="en-GB"/>
                <w14:ligatures w14:val="none"/>
              </w:rPr>
              <w:t>(Surplus)</w:t>
            </w:r>
            <w:r w:rsidRPr="00A20F86">
              <w:rPr>
                <w:rFonts w:ascii="Arial" w:eastAsia="Times New Roman" w:hAnsi="Arial" w:cs="Arial"/>
                <w:b/>
                <w:bCs/>
                <w:color w:val="000000"/>
                <w:kern w:val="0"/>
                <w:sz w:val="20"/>
                <w:szCs w:val="20"/>
                <w:lang w:eastAsia="en-GB"/>
                <w14:ligatures w14:val="none"/>
              </w:rPr>
              <w:t xml:space="preserve"> / Deficit</w:t>
            </w:r>
          </w:p>
        </w:tc>
        <w:tc>
          <w:tcPr>
            <w:tcW w:w="1354" w:type="dxa"/>
            <w:tcBorders>
              <w:top w:val="dotted" w:sz="4" w:space="0" w:color="FF0000"/>
            </w:tcBorders>
            <w:vAlign w:val="center"/>
          </w:tcPr>
          <w:p w14:paraId="217DD590"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72,074</w:t>
            </w:r>
          </w:p>
        </w:tc>
        <w:tc>
          <w:tcPr>
            <w:tcW w:w="1354" w:type="dxa"/>
            <w:tcBorders>
              <w:top w:val="dotted" w:sz="4" w:space="0" w:color="FF0000"/>
            </w:tcBorders>
            <w:vAlign w:val="center"/>
          </w:tcPr>
          <w:p w14:paraId="7376B440"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75,674</w:t>
            </w:r>
          </w:p>
        </w:tc>
        <w:tc>
          <w:tcPr>
            <w:tcW w:w="1359" w:type="dxa"/>
            <w:tcBorders>
              <w:top w:val="dotted" w:sz="4" w:space="0" w:color="FF0000"/>
            </w:tcBorders>
            <w:vAlign w:val="center"/>
          </w:tcPr>
          <w:p w14:paraId="2BEDEB45"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93,609</w:t>
            </w:r>
          </w:p>
        </w:tc>
        <w:tc>
          <w:tcPr>
            <w:tcW w:w="1110" w:type="dxa"/>
            <w:tcBorders>
              <w:top w:val="dotted" w:sz="4" w:space="0" w:color="FF0000"/>
            </w:tcBorders>
            <w:vAlign w:val="center"/>
          </w:tcPr>
          <w:p w14:paraId="61677ED2"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119,891</w:t>
            </w:r>
          </w:p>
        </w:tc>
      </w:tr>
      <w:tr w:rsidR="00A20F86" w:rsidRPr="00A20F86" w14:paraId="0EE190F9" w14:textId="77777777" w:rsidTr="00697A4E">
        <w:trPr>
          <w:trHeight w:val="300"/>
        </w:trPr>
        <w:tc>
          <w:tcPr>
            <w:tcW w:w="3895" w:type="dxa"/>
            <w:vAlign w:val="center"/>
            <w:hideMark/>
          </w:tcPr>
          <w:p w14:paraId="74C482F5" w14:textId="77777777" w:rsidR="00A20F86" w:rsidRPr="00A20F86" w:rsidRDefault="00A20F86" w:rsidP="00A20F86">
            <w:pPr>
              <w:spacing w:after="0" w:line="240" w:lineRule="auto"/>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HNB O/balance</w:t>
            </w:r>
          </w:p>
        </w:tc>
        <w:tc>
          <w:tcPr>
            <w:tcW w:w="1354" w:type="dxa"/>
            <w:vAlign w:val="center"/>
            <w:hideMark/>
          </w:tcPr>
          <w:p w14:paraId="31E0DCE7" w14:textId="77777777" w:rsidR="00A20F86" w:rsidRPr="00A20F86" w:rsidRDefault="00A20F86" w:rsidP="00A20F86">
            <w:pPr>
              <w:spacing w:after="0" w:line="240" w:lineRule="auto"/>
              <w:jc w:val="center"/>
              <w:rPr>
                <w:rFonts w:ascii="Arial" w:eastAsia="Times New Roman" w:hAnsi="Arial" w:cs="Arial"/>
                <w:color w:val="000000"/>
                <w:kern w:val="0"/>
                <w:sz w:val="22"/>
                <w:szCs w:val="22"/>
                <w:lang w:eastAsia="en-GB"/>
                <w14:ligatures w14:val="none"/>
              </w:rPr>
            </w:pPr>
            <w:r w:rsidRPr="00A20F86">
              <w:rPr>
                <w:rFonts w:ascii="Arial" w:eastAsia="Times New Roman" w:hAnsi="Arial" w:cs="Arial"/>
                <w:color w:val="000000"/>
                <w:kern w:val="0"/>
                <w:sz w:val="20"/>
                <w:szCs w:val="20"/>
                <w:lang w:eastAsia="en-GB"/>
                <w14:ligatures w14:val="none"/>
              </w:rPr>
              <w:t>33,586</w:t>
            </w:r>
          </w:p>
        </w:tc>
        <w:tc>
          <w:tcPr>
            <w:tcW w:w="1354" w:type="dxa"/>
            <w:vAlign w:val="center"/>
            <w:hideMark/>
          </w:tcPr>
          <w:p w14:paraId="1A8752FA" w14:textId="77777777" w:rsidR="00A20F86" w:rsidRPr="00A20F86" w:rsidRDefault="00A20F86" w:rsidP="00A20F86">
            <w:pPr>
              <w:spacing w:after="0" w:line="240" w:lineRule="auto"/>
              <w:jc w:val="center"/>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33,586</w:t>
            </w:r>
          </w:p>
        </w:tc>
        <w:tc>
          <w:tcPr>
            <w:tcW w:w="1359" w:type="dxa"/>
            <w:vAlign w:val="center"/>
            <w:hideMark/>
          </w:tcPr>
          <w:p w14:paraId="5486F81E" w14:textId="77777777" w:rsidR="00A20F86" w:rsidRPr="00A20F86" w:rsidRDefault="00A20F86" w:rsidP="00A20F86">
            <w:pPr>
              <w:spacing w:after="0" w:line="240" w:lineRule="auto"/>
              <w:jc w:val="center"/>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109,260</w:t>
            </w:r>
          </w:p>
        </w:tc>
        <w:tc>
          <w:tcPr>
            <w:tcW w:w="1110" w:type="dxa"/>
            <w:vAlign w:val="center"/>
            <w:hideMark/>
          </w:tcPr>
          <w:p w14:paraId="58E972AF" w14:textId="77777777" w:rsidR="00A20F86" w:rsidRPr="00A20F86" w:rsidRDefault="00A20F86" w:rsidP="00A20F86">
            <w:pPr>
              <w:spacing w:after="0" w:line="240" w:lineRule="auto"/>
              <w:jc w:val="center"/>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202,860</w:t>
            </w:r>
          </w:p>
        </w:tc>
      </w:tr>
      <w:tr w:rsidR="00A20F86" w:rsidRPr="00A20F86" w14:paraId="7896B00E" w14:textId="77777777" w:rsidTr="00697A4E">
        <w:trPr>
          <w:trHeight w:val="300"/>
        </w:trPr>
        <w:tc>
          <w:tcPr>
            <w:tcW w:w="3895" w:type="dxa"/>
            <w:vAlign w:val="center"/>
            <w:hideMark/>
          </w:tcPr>
          <w:p w14:paraId="7E835B6C" w14:textId="77777777" w:rsidR="00A20F86" w:rsidRPr="00A20F86" w:rsidRDefault="00A20F86" w:rsidP="00A20F86">
            <w:pPr>
              <w:spacing w:after="0" w:line="240" w:lineRule="auto"/>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C/balance</w:t>
            </w:r>
          </w:p>
        </w:tc>
        <w:tc>
          <w:tcPr>
            <w:tcW w:w="1354" w:type="dxa"/>
            <w:vAlign w:val="center"/>
            <w:hideMark/>
          </w:tcPr>
          <w:p w14:paraId="10573C91"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105,660</w:t>
            </w:r>
          </w:p>
        </w:tc>
        <w:tc>
          <w:tcPr>
            <w:tcW w:w="1354" w:type="dxa"/>
            <w:vAlign w:val="center"/>
            <w:hideMark/>
          </w:tcPr>
          <w:p w14:paraId="7DBB43BD"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109,260</w:t>
            </w:r>
          </w:p>
        </w:tc>
        <w:tc>
          <w:tcPr>
            <w:tcW w:w="1359" w:type="dxa"/>
            <w:vAlign w:val="center"/>
            <w:hideMark/>
          </w:tcPr>
          <w:p w14:paraId="1422AB4A"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202,869</w:t>
            </w:r>
          </w:p>
        </w:tc>
        <w:tc>
          <w:tcPr>
            <w:tcW w:w="1110" w:type="dxa"/>
            <w:vAlign w:val="center"/>
            <w:hideMark/>
          </w:tcPr>
          <w:p w14:paraId="1111F2A7"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322,751</w:t>
            </w:r>
          </w:p>
        </w:tc>
      </w:tr>
    </w:tbl>
    <w:p w14:paraId="47ECFC8D"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p>
    <w:p w14:paraId="69A1839D"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7.9</w:t>
      </w:r>
      <w:r w:rsidRPr="00A20F86">
        <w:rPr>
          <w:rFonts w:ascii="Arial" w:eastAsia="Times New Roman" w:hAnsi="Arial" w:cs="Times New Roman"/>
          <w:kern w:val="0"/>
          <w:lang w:eastAsia="en-GB"/>
          <w14:ligatures w14:val="none"/>
        </w:rPr>
        <w:tab/>
        <w:t>This clearly demonstrates the necessity for the block transfer in limiting financial pressures and contributing to the overall sustainability of the High Needs Block.</w:t>
      </w:r>
    </w:p>
    <w:p w14:paraId="7443086E"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4AA76177"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7.10</w:t>
      </w:r>
      <w:r w:rsidRPr="00A20F86">
        <w:rPr>
          <w:rFonts w:ascii="Arial" w:eastAsia="Times New Roman" w:hAnsi="Arial" w:cs="Times New Roman"/>
          <w:kern w:val="0"/>
          <w:lang w:eastAsia="en-GB"/>
          <w14:ligatures w14:val="none"/>
        </w:rPr>
        <w:tab/>
      </w:r>
      <w:r w:rsidRPr="00A20F86">
        <w:rPr>
          <w:rFonts w:ascii="Arial" w:eastAsia="Times New Roman" w:hAnsi="Arial" w:cs="Times New Roman"/>
          <w:b/>
          <w:bCs/>
          <w:kern w:val="0"/>
          <w:lang w:eastAsia="en-GB"/>
          <w14:ligatures w14:val="none"/>
        </w:rPr>
        <w:t xml:space="preserve">Table 9 </w:t>
      </w:r>
      <w:r w:rsidRPr="00A20F86">
        <w:rPr>
          <w:rFonts w:ascii="Arial" w:eastAsia="Times New Roman" w:hAnsi="Arial" w:cs="Times New Roman"/>
          <w:kern w:val="0"/>
          <w:lang w:eastAsia="en-GB"/>
          <w14:ligatures w14:val="none"/>
        </w:rPr>
        <w:t>shows the impact of the proposal of a 1.0% block transfer to the HNB.</w:t>
      </w:r>
      <w:r w:rsidRPr="00A20F86">
        <w:rPr>
          <w:rFonts w:ascii="Arial" w:eastAsia="Times New Roman" w:hAnsi="Arial" w:cs="Times New Roman"/>
          <w:kern w:val="0"/>
          <w:lang w:eastAsia="en-GB"/>
          <w14:ligatures w14:val="none"/>
        </w:rPr>
        <w:br/>
      </w:r>
    </w:p>
    <w:tbl>
      <w:tblPr>
        <w:tblW w:w="9072" w:type="dxa"/>
        <w:tblInd w:w="55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895"/>
        <w:gridCol w:w="1354"/>
        <w:gridCol w:w="1354"/>
        <w:gridCol w:w="1359"/>
        <w:gridCol w:w="1110"/>
      </w:tblGrid>
      <w:tr w:rsidR="00A20F86" w:rsidRPr="00A20F86" w14:paraId="72DB2DB1" w14:textId="77777777" w:rsidTr="00697A4E">
        <w:trPr>
          <w:trHeight w:val="860"/>
        </w:trPr>
        <w:tc>
          <w:tcPr>
            <w:tcW w:w="3895" w:type="dxa"/>
            <w:tcBorders>
              <w:top w:val="single" w:sz="4" w:space="0" w:color="FF0000"/>
              <w:left w:val="dotted" w:sz="4" w:space="0" w:color="FF0000"/>
              <w:bottom w:val="single" w:sz="4" w:space="0" w:color="E40037"/>
              <w:right w:val="single" w:sz="4" w:space="0" w:color="E40037"/>
            </w:tcBorders>
            <w:shd w:val="clear" w:color="000000" w:fill="E40037"/>
            <w:hideMark/>
          </w:tcPr>
          <w:p w14:paraId="1252F5AA" w14:textId="77777777" w:rsidR="00A20F86" w:rsidRPr="00A20F86" w:rsidRDefault="00A20F86" w:rsidP="00A20F86">
            <w:pPr>
              <w:spacing w:after="0" w:line="240" w:lineRule="auto"/>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 </w:t>
            </w:r>
          </w:p>
        </w:tc>
        <w:tc>
          <w:tcPr>
            <w:tcW w:w="1354" w:type="dxa"/>
            <w:tcBorders>
              <w:top w:val="single" w:sz="4" w:space="0" w:color="FF0000"/>
              <w:left w:val="single" w:sz="4" w:space="0" w:color="E40037"/>
              <w:bottom w:val="single" w:sz="4" w:space="0" w:color="E40037"/>
              <w:right w:val="single" w:sz="4" w:space="0" w:color="E40037"/>
            </w:tcBorders>
            <w:shd w:val="clear" w:color="000000" w:fill="E40037"/>
            <w:vAlign w:val="bottom"/>
            <w:hideMark/>
          </w:tcPr>
          <w:p w14:paraId="13A72FA9" w14:textId="77777777" w:rsidR="00A20F86" w:rsidRPr="00A20F86" w:rsidRDefault="00A20F86" w:rsidP="00A20F86">
            <w:pPr>
              <w:spacing w:after="0" w:line="240" w:lineRule="auto"/>
              <w:jc w:val="center"/>
              <w:rPr>
                <w:rFonts w:ascii="Arial" w:eastAsia="Times New Roman" w:hAnsi="Arial" w:cs="Arial"/>
                <w:b/>
                <w:bCs/>
                <w:color w:val="FFFFFF"/>
                <w:kern w:val="0"/>
                <w:sz w:val="20"/>
                <w:szCs w:val="20"/>
                <w:lang w:eastAsia="en-GB"/>
                <w14:ligatures w14:val="none"/>
              </w:rPr>
            </w:pPr>
            <w:r w:rsidRPr="00A20F86">
              <w:rPr>
                <w:rFonts w:ascii="Arial" w:eastAsia="Times New Roman" w:hAnsi="Arial" w:cs="Arial"/>
                <w:b/>
                <w:bCs/>
                <w:color w:val="FFFFFF"/>
                <w:kern w:val="0"/>
                <w:sz w:val="20"/>
                <w:szCs w:val="20"/>
                <w:lang w:eastAsia="en-GB"/>
                <w14:ligatures w14:val="none"/>
              </w:rPr>
              <w:t>2026/27 Budget   £000</w:t>
            </w:r>
          </w:p>
        </w:tc>
        <w:tc>
          <w:tcPr>
            <w:tcW w:w="1354" w:type="dxa"/>
            <w:tcBorders>
              <w:top w:val="single" w:sz="4" w:space="0" w:color="FF0000"/>
              <w:left w:val="single" w:sz="4" w:space="0" w:color="E40037"/>
              <w:bottom w:val="single" w:sz="4" w:space="0" w:color="E40037"/>
              <w:right w:val="single" w:sz="4" w:space="0" w:color="E40037"/>
            </w:tcBorders>
            <w:shd w:val="clear" w:color="000000" w:fill="E40037"/>
            <w:vAlign w:val="bottom"/>
            <w:hideMark/>
          </w:tcPr>
          <w:p w14:paraId="0FDC2304" w14:textId="77777777" w:rsidR="00A20F86" w:rsidRPr="00A20F86" w:rsidRDefault="00A20F86" w:rsidP="00A20F86">
            <w:pPr>
              <w:spacing w:after="0" w:line="240" w:lineRule="auto"/>
              <w:jc w:val="center"/>
              <w:rPr>
                <w:rFonts w:ascii="Arial" w:eastAsia="Times New Roman" w:hAnsi="Arial" w:cs="Arial"/>
                <w:b/>
                <w:bCs/>
                <w:color w:val="FFFFFF"/>
                <w:kern w:val="0"/>
                <w:sz w:val="20"/>
                <w:szCs w:val="20"/>
                <w:lang w:eastAsia="en-GB"/>
                <w14:ligatures w14:val="none"/>
              </w:rPr>
            </w:pPr>
            <w:r w:rsidRPr="00A20F86">
              <w:rPr>
                <w:rFonts w:ascii="Arial" w:eastAsia="Times New Roman" w:hAnsi="Arial" w:cs="Arial"/>
                <w:b/>
                <w:bCs/>
                <w:color w:val="FFFFFF"/>
                <w:kern w:val="0"/>
                <w:sz w:val="20"/>
                <w:szCs w:val="20"/>
                <w:lang w:eastAsia="en-GB"/>
                <w14:ligatures w14:val="none"/>
              </w:rPr>
              <w:t>2026/27 Outturn £000</w:t>
            </w:r>
          </w:p>
        </w:tc>
        <w:tc>
          <w:tcPr>
            <w:tcW w:w="1359" w:type="dxa"/>
            <w:tcBorders>
              <w:top w:val="single" w:sz="4" w:space="0" w:color="FF0000"/>
              <w:left w:val="single" w:sz="4" w:space="0" w:color="E40037"/>
              <w:bottom w:val="single" w:sz="4" w:space="0" w:color="E40037"/>
              <w:right w:val="single" w:sz="4" w:space="0" w:color="E40037"/>
            </w:tcBorders>
            <w:shd w:val="clear" w:color="000000" w:fill="E40037"/>
            <w:vAlign w:val="bottom"/>
            <w:hideMark/>
          </w:tcPr>
          <w:p w14:paraId="0B3801E9" w14:textId="77777777" w:rsidR="00A20F86" w:rsidRPr="00A20F86" w:rsidRDefault="00A20F86" w:rsidP="00A20F86">
            <w:pPr>
              <w:spacing w:after="0" w:line="240" w:lineRule="auto"/>
              <w:jc w:val="center"/>
              <w:rPr>
                <w:rFonts w:ascii="Arial" w:eastAsia="Times New Roman" w:hAnsi="Arial" w:cs="Arial"/>
                <w:b/>
                <w:bCs/>
                <w:color w:val="FFFFFF"/>
                <w:kern w:val="0"/>
                <w:sz w:val="20"/>
                <w:szCs w:val="20"/>
                <w:lang w:eastAsia="en-GB"/>
                <w14:ligatures w14:val="none"/>
              </w:rPr>
            </w:pPr>
            <w:r w:rsidRPr="00A20F86">
              <w:rPr>
                <w:rFonts w:ascii="Arial" w:eastAsia="Times New Roman" w:hAnsi="Arial" w:cs="Arial"/>
                <w:b/>
                <w:bCs/>
                <w:color w:val="FFFFFF"/>
                <w:kern w:val="0"/>
                <w:sz w:val="20"/>
                <w:szCs w:val="20"/>
                <w:lang w:eastAsia="en-GB"/>
                <w14:ligatures w14:val="none"/>
              </w:rPr>
              <w:t>2027/28   £000</w:t>
            </w:r>
          </w:p>
        </w:tc>
        <w:tc>
          <w:tcPr>
            <w:tcW w:w="1110" w:type="dxa"/>
            <w:tcBorders>
              <w:top w:val="single" w:sz="4" w:space="0" w:color="FF0000"/>
              <w:left w:val="single" w:sz="4" w:space="0" w:color="E40037"/>
              <w:bottom w:val="single" w:sz="4" w:space="0" w:color="E40037"/>
              <w:right w:val="dotted" w:sz="4" w:space="0" w:color="FF0000"/>
            </w:tcBorders>
            <w:shd w:val="clear" w:color="000000" w:fill="E40037"/>
            <w:vAlign w:val="bottom"/>
            <w:hideMark/>
          </w:tcPr>
          <w:p w14:paraId="7EADF69F" w14:textId="77777777" w:rsidR="00A20F86" w:rsidRPr="00A20F86" w:rsidRDefault="00A20F86" w:rsidP="00A20F86">
            <w:pPr>
              <w:spacing w:after="0" w:line="240" w:lineRule="auto"/>
              <w:jc w:val="center"/>
              <w:rPr>
                <w:rFonts w:ascii="Arial" w:eastAsia="Times New Roman" w:hAnsi="Arial" w:cs="Arial"/>
                <w:b/>
                <w:bCs/>
                <w:color w:val="FFFFFF"/>
                <w:kern w:val="0"/>
                <w:lang w:eastAsia="en-GB"/>
                <w14:ligatures w14:val="none"/>
              </w:rPr>
            </w:pPr>
            <w:r w:rsidRPr="00A20F86">
              <w:rPr>
                <w:rFonts w:ascii="Arial" w:eastAsia="Times New Roman" w:hAnsi="Arial" w:cs="Arial"/>
                <w:b/>
                <w:bCs/>
                <w:color w:val="FFFFFF"/>
                <w:kern w:val="0"/>
                <w:sz w:val="22"/>
                <w:szCs w:val="22"/>
                <w:lang w:eastAsia="en-GB"/>
                <w14:ligatures w14:val="none"/>
              </w:rPr>
              <w:t>2028/29  £000</w:t>
            </w:r>
          </w:p>
        </w:tc>
      </w:tr>
      <w:tr w:rsidR="00A20F86" w:rsidRPr="00A20F86" w14:paraId="74F52DBE" w14:textId="77777777" w:rsidTr="00697A4E">
        <w:trPr>
          <w:trHeight w:val="310"/>
        </w:trPr>
        <w:tc>
          <w:tcPr>
            <w:tcW w:w="3895" w:type="dxa"/>
            <w:tcBorders>
              <w:top w:val="single" w:sz="4" w:space="0" w:color="E40037"/>
            </w:tcBorders>
            <w:vAlign w:val="center"/>
            <w:hideMark/>
          </w:tcPr>
          <w:p w14:paraId="5D74C9EC" w14:textId="77777777" w:rsidR="00A20F86" w:rsidRPr="00A20F86" w:rsidRDefault="00A20F86" w:rsidP="00A20F86">
            <w:pPr>
              <w:spacing w:after="0" w:line="240" w:lineRule="auto"/>
              <w:rPr>
                <w:rFonts w:ascii="Arial" w:eastAsia="Times New Roman" w:hAnsi="Arial" w:cs="Arial"/>
                <w:b/>
                <w:bCs/>
                <w:kern w:val="0"/>
                <w:sz w:val="20"/>
                <w:szCs w:val="20"/>
                <w:lang w:eastAsia="en-GB"/>
                <w14:ligatures w14:val="none"/>
              </w:rPr>
            </w:pPr>
            <w:r w:rsidRPr="00A20F86">
              <w:rPr>
                <w:rFonts w:ascii="Arial" w:eastAsia="Times New Roman" w:hAnsi="Arial" w:cs="Arial"/>
                <w:b/>
                <w:bCs/>
                <w:kern w:val="0"/>
                <w:sz w:val="20"/>
                <w:szCs w:val="20"/>
                <w:lang w:eastAsia="en-GB"/>
                <w14:ligatures w14:val="none"/>
              </w:rPr>
              <w:t>Total Cost</w:t>
            </w:r>
          </w:p>
        </w:tc>
        <w:tc>
          <w:tcPr>
            <w:tcW w:w="1354" w:type="dxa"/>
            <w:tcBorders>
              <w:top w:val="single" w:sz="4" w:space="0" w:color="E40037"/>
            </w:tcBorders>
            <w:vAlign w:val="center"/>
          </w:tcPr>
          <w:p w14:paraId="64734EDB" w14:textId="77777777" w:rsidR="00A20F86" w:rsidRPr="00A20F86" w:rsidRDefault="00A20F86" w:rsidP="00A20F86">
            <w:pPr>
              <w:spacing w:after="0" w:line="240" w:lineRule="auto"/>
              <w:jc w:val="center"/>
              <w:rPr>
                <w:rFonts w:ascii="Arial" w:eastAsia="Times New Roman" w:hAnsi="Arial" w:cs="Arial"/>
                <w:b/>
                <w:bCs/>
                <w:color w:val="000000"/>
                <w:kern w:val="0"/>
                <w:sz w:val="22"/>
                <w:szCs w:val="22"/>
                <w:lang w:eastAsia="en-GB"/>
                <w14:ligatures w14:val="none"/>
              </w:rPr>
            </w:pPr>
            <w:r w:rsidRPr="00A20F86">
              <w:rPr>
                <w:rFonts w:ascii="Arial" w:eastAsia="Times New Roman" w:hAnsi="Arial" w:cs="Arial"/>
                <w:b/>
                <w:bCs/>
                <w:color w:val="000000"/>
                <w:kern w:val="0"/>
                <w:sz w:val="20"/>
                <w:szCs w:val="20"/>
                <w:lang w:eastAsia="en-GB"/>
                <w14:ligatures w14:val="none"/>
              </w:rPr>
              <w:t>349,274</w:t>
            </w:r>
          </w:p>
        </w:tc>
        <w:tc>
          <w:tcPr>
            <w:tcW w:w="1354" w:type="dxa"/>
            <w:tcBorders>
              <w:top w:val="single" w:sz="4" w:space="0" w:color="E40037"/>
            </w:tcBorders>
            <w:vAlign w:val="center"/>
          </w:tcPr>
          <w:p w14:paraId="36A50585"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352,490</w:t>
            </w:r>
          </w:p>
        </w:tc>
        <w:tc>
          <w:tcPr>
            <w:tcW w:w="1359" w:type="dxa"/>
            <w:tcBorders>
              <w:top w:val="single" w:sz="4" w:space="0" w:color="E40037"/>
            </w:tcBorders>
            <w:vAlign w:val="center"/>
          </w:tcPr>
          <w:p w14:paraId="73D1909C"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370,425</w:t>
            </w:r>
          </w:p>
        </w:tc>
        <w:tc>
          <w:tcPr>
            <w:tcW w:w="1110" w:type="dxa"/>
            <w:tcBorders>
              <w:top w:val="single" w:sz="4" w:space="0" w:color="E40037"/>
            </w:tcBorders>
            <w:vAlign w:val="center"/>
          </w:tcPr>
          <w:p w14:paraId="49A5B3F2"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396,707</w:t>
            </w:r>
          </w:p>
        </w:tc>
      </w:tr>
      <w:tr w:rsidR="00A20F86" w:rsidRPr="00A20F86" w14:paraId="6C2D8091" w14:textId="77777777" w:rsidTr="00697A4E">
        <w:trPr>
          <w:trHeight w:val="310"/>
        </w:trPr>
        <w:tc>
          <w:tcPr>
            <w:tcW w:w="3895" w:type="dxa"/>
            <w:tcBorders>
              <w:top w:val="dotted" w:sz="4" w:space="0" w:color="FF0000"/>
            </w:tcBorders>
            <w:vAlign w:val="center"/>
          </w:tcPr>
          <w:p w14:paraId="7CE8C243" w14:textId="77777777" w:rsidR="00A20F86" w:rsidRPr="00A20F86" w:rsidRDefault="00A20F86" w:rsidP="00A20F86">
            <w:pPr>
              <w:spacing w:after="0" w:line="240" w:lineRule="auto"/>
              <w:rPr>
                <w:rFonts w:ascii="Arial" w:eastAsia="Times New Roman" w:hAnsi="Arial" w:cs="Arial"/>
                <w:b/>
                <w:bCs/>
                <w:kern w:val="0"/>
                <w:sz w:val="20"/>
                <w:szCs w:val="20"/>
                <w:lang w:eastAsia="en-GB"/>
                <w14:ligatures w14:val="none"/>
              </w:rPr>
            </w:pPr>
            <w:r w:rsidRPr="00A20F86">
              <w:rPr>
                <w:rFonts w:ascii="Arial" w:eastAsia="Times New Roman" w:hAnsi="Arial" w:cs="Arial"/>
                <w:b/>
                <w:bCs/>
                <w:kern w:val="0"/>
                <w:sz w:val="20"/>
                <w:szCs w:val="20"/>
                <w:lang w:eastAsia="en-GB"/>
                <w14:ligatures w14:val="none"/>
              </w:rPr>
              <w:t>Funding</w:t>
            </w:r>
          </w:p>
        </w:tc>
        <w:tc>
          <w:tcPr>
            <w:tcW w:w="1354" w:type="dxa"/>
            <w:tcBorders>
              <w:top w:val="dotted" w:sz="4" w:space="0" w:color="FF0000"/>
            </w:tcBorders>
            <w:vAlign w:val="center"/>
          </w:tcPr>
          <w:p w14:paraId="08718871" w14:textId="77777777" w:rsidR="00A20F86" w:rsidRPr="00A20F86" w:rsidRDefault="00A20F86" w:rsidP="00A20F86">
            <w:pPr>
              <w:spacing w:after="0" w:line="240" w:lineRule="auto"/>
              <w:jc w:val="center"/>
              <w:rPr>
                <w:rFonts w:ascii="Arial" w:eastAsia="Times New Roman" w:hAnsi="Arial" w:cs="Arial"/>
                <w:b/>
                <w:bCs/>
                <w:kern w:val="0"/>
                <w:sz w:val="20"/>
                <w:szCs w:val="20"/>
                <w:lang w:eastAsia="en-GB"/>
                <w14:ligatures w14:val="none"/>
              </w:rPr>
            </w:pPr>
            <w:r w:rsidRPr="00A20F86">
              <w:rPr>
                <w:rFonts w:ascii="Arial" w:eastAsia="Times New Roman" w:hAnsi="Arial" w:cs="Arial"/>
                <w:b/>
                <w:bCs/>
                <w:kern w:val="0"/>
                <w:sz w:val="20"/>
                <w:szCs w:val="20"/>
                <w:lang w:eastAsia="en-GB"/>
                <w14:ligatures w14:val="none"/>
              </w:rPr>
              <w:t>(277,200)</w:t>
            </w:r>
          </w:p>
        </w:tc>
        <w:tc>
          <w:tcPr>
            <w:tcW w:w="1354" w:type="dxa"/>
            <w:tcBorders>
              <w:top w:val="dotted" w:sz="4" w:space="0" w:color="FF0000"/>
            </w:tcBorders>
            <w:vAlign w:val="center"/>
          </w:tcPr>
          <w:p w14:paraId="068C1386" w14:textId="77777777" w:rsidR="00A20F86" w:rsidRPr="00A20F86" w:rsidRDefault="00A20F86" w:rsidP="00A20F86">
            <w:pPr>
              <w:spacing w:after="0" w:line="240" w:lineRule="auto"/>
              <w:jc w:val="center"/>
              <w:rPr>
                <w:rFonts w:ascii="Arial" w:eastAsia="Times New Roman" w:hAnsi="Arial" w:cs="Arial"/>
                <w:b/>
                <w:bCs/>
                <w:kern w:val="0"/>
                <w:sz w:val="20"/>
                <w:szCs w:val="20"/>
                <w:lang w:eastAsia="en-GB"/>
                <w14:ligatures w14:val="none"/>
              </w:rPr>
            </w:pPr>
            <w:r w:rsidRPr="00A20F86">
              <w:rPr>
                <w:rFonts w:ascii="Arial" w:eastAsia="Times New Roman" w:hAnsi="Arial" w:cs="Arial"/>
                <w:b/>
                <w:bCs/>
                <w:kern w:val="0"/>
                <w:sz w:val="20"/>
                <w:szCs w:val="20"/>
                <w:lang w:eastAsia="en-GB"/>
                <w14:ligatures w14:val="none"/>
              </w:rPr>
              <w:t>(276,816)</w:t>
            </w:r>
          </w:p>
        </w:tc>
        <w:tc>
          <w:tcPr>
            <w:tcW w:w="1359" w:type="dxa"/>
            <w:tcBorders>
              <w:top w:val="dotted" w:sz="4" w:space="0" w:color="FF0000"/>
            </w:tcBorders>
            <w:vAlign w:val="center"/>
          </w:tcPr>
          <w:p w14:paraId="46D59F32" w14:textId="77777777" w:rsidR="00A20F86" w:rsidRPr="00A20F86" w:rsidRDefault="00A20F86" w:rsidP="00A20F86">
            <w:pPr>
              <w:spacing w:after="0" w:line="240" w:lineRule="auto"/>
              <w:jc w:val="center"/>
              <w:rPr>
                <w:rFonts w:ascii="Arial" w:eastAsia="Times New Roman" w:hAnsi="Arial" w:cs="Arial"/>
                <w:b/>
                <w:bCs/>
                <w:kern w:val="0"/>
                <w:sz w:val="20"/>
                <w:szCs w:val="20"/>
                <w:lang w:eastAsia="en-GB"/>
                <w14:ligatures w14:val="none"/>
              </w:rPr>
            </w:pPr>
            <w:r w:rsidRPr="00A20F86">
              <w:rPr>
                <w:rFonts w:ascii="Arial" w:eastAsia="Times New Roman" w:hAnsi="Arial" w:cs="Arial"/>
                <w:b/>
                <w:bCs/>
                <w:kern w:val="0"/>
                <w:sz w:val="20"/>
                <w:szCs w:val="20"/>
                <w:lang w:eastAsia="en-GB"/>
                <w14:ligatures w14:val="none"/>
              </w:rPr>
              <w:t>(276,816)</w:t>
            </w:r>
          </w:p>
        </w:tc>
        <w:tc>
          <w:tcPr>
            <w:tcW w:w="1110" w:type="dxa"/>
            <w:tcBorders>
              <w:top w:val="dotted" w:sz="4" w:space="0" w:color="FF0000"/>
            </w:tcBorders>
            <w:vAlign w:val="center"/>
          </w:tcPr>
          <w:p w14:paraId="0C491EC1" w14:textId="77777777" w:rsidR="00A20F86" w:rsidRPr="00A20F86" w:rsidRDefault="00A20F86" w:rsidP="00A20F86">
            <w:pPr>
              <w:spacing w:after="0" w:line="240" w:lineRule="auto"/>
              <w:jc w:val="center"/>
              <w:rPr>
                <w:rFonts w:ascii="Arial" w:eastAsia="Times New Roman" w:hAnsi="Arial" w:cs="Arial"/>
                <w:b/>
                <w:bCs/>
                <w:kern w:val="0"/>
                <w:sz w:val="20"/>
                <w:szCs w:val="20"/>
                <w:lang w:eastAsia="en-GB"/>
                <w14:ligatures w14:val="none"/>
              </w:rPr>
            </w:pPr>
            <w:r w:rsidRPr="00A20F86">
              <w:rPr>
                <w:rFonts w:ascii="Arial" w:eastAsia="Times New Roman" w:hAnsi="Arial" w:cs="Arial"/>
                <w:b/>
                <w:bCs/>
                <w:kern w:val="0"/>
                <w:sz w:val="20"/>
                <w:szCs w:val="20"/>
                <w:lang w:eastAsia="en-GB"/>
                <w14:ligatures w14:val="none"/>
              </w:rPr>
              <w:t>(276,816)</w:t>
            </w:r>
          </w:p>
        </w:tc>
      </w:tr>
      <w:tr w:rsidR="00A20F86" w:rsidRPr="00A20F86" w14:paraId="44755103" w14:textId="77777777" w:rsidTr="00697A4E">
        <w:trPr>
          <w:trHeight w:val="310"/>
        </w:trPr>
        <w:tc>
          <w:tcPr>
            <w:tcW w:w="3895" w:type="dxa"/>
            <w:tcBorders>
              <w:top w:val="dotted" w:sz="4" w:space="0" w:color="FF0000"/>
            </w:tcBorders>
            <w:vAlign w:val="center"/>
          </w:tcPr>
          <w:p w14:paraId="28AA2C32" w14:textId="77777777" w:rsidR="00A20F86" w:rsidRPr="00A20F86" w:rsidRDefault="00A20F86" w:rsidP="00A20F86">
            <w:pPr>
              <w:spacing w:after="0" w:line="240" w:lineRule="auto"/>
              <w:rPr>
                <w:rFonts w:ascii="Arial" w:eastAsia="Times New Roman" w:hAnsi="Arial" w:cs="Arial"/>
                <w:b/>
                <w:bCs/>
                <w:color w:val="FF0000"/>
                <w:kern w:val="0"/>
                <w:sz w:val="20"/>
                <w:szCs w:val="20"/>
                <w:lang w:eastAsia="en-GB"/>
                <w14:ligatures w14:val="none"/>
              </w:rPr>
            </w:pPr>
            <w:r w:rsidRPr="00A20F86">
              <w:rPr>
                <w:rFonts w:ascii="Arial" w:eastAsia="Times New Roman" w:hAnsi="Arial" w:cs="Arial"/>
                <w:b/>
                <w:bCs/>
                <w:kern w:val="0"/>
                <w:sz w:val="20"/>
                <w:szCs w:val="20"/>
                <w:lang w:eastAsia="en-GB"/>
                <w14:ligatures w14:val="none"/>
              </w:rPr>
              <w:t>(Surplus)</w:t>
            </w:r>
            <w:r w:rsidRPr="00A20F86">
              <w:rPr>
                <w:rFonts w:ascii="Arial" w:eastAsia="Times New Roman" w:hAnsi="Arial" w:cs="Arial"/>
                <w:b/>
                <w:bCs/>
                <w:color w:val="000000"/>
                <w:kern w:val="0"/>
                <w:sz w:val="20"/>
                <w:szCs w:val="20"/>
                <w:lang w:eastAsia="en-GB"/>
                <w14:ligatures w14:val="none"/>
              </w:rPr>
              <w:t xml:space="preserve"> / Deficit</w:t>
            </w:r>
          </w:p>
        </w:tc>
        <w:tc>
          <w:tcPr>
            <w:tcW w:w="1354" w:type="dxa"/>
            <w:tcBorders>
              <w:top w:val="dotted" w:sz="4" w:space="0" w:color="FF0000"/>
            </w:tcBorders>
            <w:vAlign w:val="center"/>
          </w:tcPr>
          <w:p w14:paraId="236E34D6"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72,074</w:t>
            </w:r>
          </w:p>
        </w:tc>
        <w:tc>
          <w:tcPr>
            <w:tcW w:w="1354" w:type="dxa"/>
            <w:tcBorders>
              <w:top w:val="dotted" w:sz="4" w:space="0" w:color="FF0000"/>
            </w:tcBorders>
            <w:vAlign w:val="center"/>
          </w:tcPr>
          <w:p w14:paraId="55EDB1D5"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75,674</w:t>
            </w:r>
          </w:p>
        </w:tc>
        <w:tc>
          <w:tcPr>
            <w:tcW w:w="1359" w:type="dxa"/>
            <w:tcBorders>
              <w:top w:val="dotted" w:sz="4" w:space="0" w:color="FF0000"/>
            </w:tcBorders>
            <w:vAlign w:val="center"/>
          </w:tcPr>
          <w:p w14:paraId="1ACC2C25"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93,609</w:t>
            </w:r>
          </w:p>
        </w:tc>
        <w:tc>
          <w:tcPr>
            <w:tcW w:w="1110" w:type="dxa"/>
            <w:tcBorders>
              <w:top w:val="dotted" w:sz="4" w:space="0" w:color="FF0000"/>
            </w:tcBorders>
            <w:vAlign w:val="center"/>
          </w:tcPr>
          <w:p w14:paraId="25C65345"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119,891</w:t>
            </w:r>
          </w:p>
        </w:tc>
      </w:tr>
      <w:tr w:rsidR="00A20F86" w:rsidRPr="00A20F86" w14:paraId="02CAEF91" w14:textId="77777777" w:rsidTr="00697A4E">
        <w:trPr>
          <w:trHeight w:val="300"/>
        </w:trPr>
        <w:tc>
          <w:tcPr>
            <w:tcW w:w="3895" w:type="dxa"/>
            <w:vAlign w:val="center"/>
            <w:hideMark/>
          </w:tcPr>
          <w:p w14:paraId="63B1BCD9" w14:textId="77777777" w:rsidR="00A20F86" w:rsidRPr="00A20F86" w:rsidRDefault="00A20F86" w:rsidP="00A20F86">
            <w:pPr>
              <w:spacing w:after="0" w:line="240" w:lineRule="auto"/>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Schools Block Transfer to HNB (1%)</w:t>
            </w:r>
          </w:p>
        </w:tc>
        <w:tc>
          <w:tcPr>
            <w:tcW w:w="1354" w:type="dxa"/>
            <w:vAlign w:val="center"/>
            <w:hideMark/>
          </w:tcPr>
          <w:p w14:paraId="34A6CC17"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kern w:val="0"/>
                <w:sz w:val="20"/>
                <w:szCs w:val="20"/>
                <w:lang w:eastAsia="en-GB"/>
                <w14:ligatures w14:val="none"/>
              </w:rPr>
              <w:t>(13,073)</w:t>
            </w:r>
          </w:p>
        </w:tc>
        <w:tc>
          <w:tcPr>
            <w:tcW w:w="1354" w:type="dxa"/>
            <w:vAlign w:val="center"/>
            <w:hideMark/>
          </w:tcPr>
          <w:p w14:paraId="7DF06079"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kern w:val="0"/>
                <w:sz w:val="20"/>
                <w:szCs w:val="20"/>
                <w:lang w:eastAsia="en-GB"/>
                <w14:ligatures w14:val="none"/>
              </w:rPr>
              <w:t>(13,073)</w:t>
            </w:r>
          </w:p>
        </w:tc>
        <w:tc>
          <w:tcPr>
            <w:tcW w:w="1359" w:type="dxa"/>
            <w:vAlign w:val="center"/>
            <w:hideMark/>
          </w:tcPr>
          <w:p w14:paraId="09B20529"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kern w:val="0"/>
                <w:sz w:val="20"/>
                <w:szCs w:val="20"/>
                <w:lang w:eastAsia="en-GB"/>
                <w14:ligatures w14:val="none"/>
              </w:rPr>
              <w:t>(13,256)</w:t>
            </w:r>
          </w:p>
        </w:tc>
        <w:tc>
          <w:tcPr>
            <w:tcW w:w="1110" w:type="dxa"/>
            <w:vAlign w:val="center"/>
            <w:hideMark/>
          </w:tcPr>
          <w:p w14:paraId="0D7CAB79"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kern w:val="0"/>
                <w:sz w:val="20"/>
                <w:szCs w:val="20"/>
                <w:lang w:eastAsia="en-GB"/>
                <w14:ligatures w14:val="none"/>
              </w:rPr>
              <w:t>(13,256)</w:t>
            </w:r>
          </w:p>
        </w:tc>
      </w:tr>
      <w:tr w:rsidR="00A20F86" w:rsidRPr="00A20F86" w14:paraId="7E297B4B" w14:textId="77777777" w:rsidTr="00697A4E">
        <w:trPr>
          <w:trHeight w:val="300"/>
        </w:trPr>
        <w:tc>
          <w:tcPr>
            <w:tcW w:w="3895" w:type="dxa"/>
            <w:vAlign w:val="center"/>
            <w:hideMark/>
          </w:tcPr>
          <w:p w14:paraId="3E554067" w14:textId="77777777" w:rsidR="00A20F86" w:rsidRPr="00A20F86" w:rsidRDefault="00A20F86" w:rsidP="00A20F86">
            <w:pPr>
              <w:spacing w:after="0" w:line="240" w:lineRule="auto"/>
              <w:rPr>
                <w:rFonts w:ascii="Arial" w:eastAsia="Times New Roman" w:hAnsi="Arial" w:cs="Arial"/>
                <w:b/>
                <w:bCs/>
                <w:color w:val="FF0000"/>
                <w:kern w:val="0"/>
                <w:sz w:val="20"/>
                <w:szCs w:val="20"/>
                <w:lang w:eastAsia="en-GB"/>
                <w14:ligatures w14:val="none"/>
              </w:rPr>
            </w:pPr>
            <w:r w:rsidRPr="00A20F86">
              <w:rPr>
                <w:rFonts w:ascii="Arial" w:eastAsia="Times New Roman" w:hAnsi="Arial" w:cs="Arial"/>
                <w:b/>
                <w:bCs/>
                <w:kern w:val="0"/>
                <w:sz w:val="20"/>
                <w:szCs w:val="20"/>
                <w:lang w:eastAsia="en-GB"/>
                <w14:ligatures w14:val="none"/>
              </w:rPr>
              <w:t>(Surplus) /</w:t>
            </w:r>
            <w:r w:rsidRPr="00A20F86">
              <w:rPr>
                <w:rFonts w:ascii="Arial" w:eastAsia="Times New Roman" w:hAnsi="Arial" w:cs="Arial"/>
                <w:b/>
                <w:bCs/>
                <w:color w:val="FF0000"/>
                <w:kern w:val="0"/>
                <w:sz w:val="20"/>
                <w:szCs w:val="20"/>
                <w:lang w:eastAsia="en-GB"/>
                <w14:ligatures w14:val="none"/>
              </w:rPr>
              <w:t xml:space="preserve"> </w:t>
            </w:r>
            <w:r w:rsidRPr="00A20F86">
              <w:rPr>
                <w:rFonts w:ascii="Arial" w:eastAsia="Times New Roman" w:hAnsi="Arial" w:cs="Arial"/>
                <w:b/>
                <w:bCs/>
                <w:kern w:val="0"/>
                <w:sz w:val="20"/>
                <w:szCs w:val="20"/>
                <w:lang w:eastAsia="en-GB"/>
                <w14:ligatures w14:val="none"/>
              </w:rPr>
              <w:t>Deficit: post Block Transfer</w:t>
            </w:r>
          </w:p>
        </w:tc>
        <w:tc>
          <w:tcPr>
            <w:tcW w:w="1354" w:type="dxa"/>
            <w:vAlign w:val="center"/>
            <w:hideMark/>
          </w:tcPr>
          <w:p w14:paraId="67948822"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59,001</w:t>
            </w:r>
          </w:p>
        </w:tc>
        <w:tc>
          <w:tcPr>
            <w:tcW w:w="1354" w:type="dxa"/>
            <w:vAlign w:val="center"/>
            <w:hideMark/>
          </w:tcPr>
          <w:p w14:paraId="48377397"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62,601</w:t>
            </w:r>
          </w:p>
        </w:tc>
        <w:tc>
          <w:tcPr>
            <w:tcW w:w="1359" w:type="dxa"/>
            <w:vAlign w:val="center"/>
            <w:hideMark/>
          </w:tcPr>
          <w:p w14:paraId="125A4FA2"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80,353</w:t>
            </w:r>
          </w:p>
        </w:tc>
        <w:tc>
          <w:tcPr>
            <w:tcW w:w="1110" w:type="dxa"/>
            <w:vAlign w:val="center"/>
            <w:hideMark/>
          </w:tcPr>
          <w:p w14:paraId="2DADC348"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106,635</w:t>
            </w:r>
          </w:p>
        </w:tc>
      </w:tr>
      <w:tr w:rsidR="00A20F86" w:rsidRPr="00A20F86" w14:paraId="226BBE4A" w14:textId="77777777" w:rsidTr="00697A4E">
        <w:trPr>
          <w:trHeight w:val="300"/>
        </w:trPr>
        <w:tc>
          <w:tcPr>
            <w:tcW w:w="3895" w:type="dxa"/>
            <w:vAlign w:val="center"/>
            <w:hideMark/>
          </w:tcPr>
          <w:p w14:paraId="186BD9CB" w14:textId="77777777" w:rsidR="00A20F86" w:rsidRPr="00A20F86" w:rsidRDefault="00A20F86" w:rsidP="00A20F86">
            <w:pPr>
              <w:spacing w:after="0" w:line="240" w:lineRule="auto"/>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HNB O/balance</w:t>
            </w:r>
          </w:p>
        </w:tc>
        <w:tc>
          <w:tcPr>
            <w:tcW w:w="1354" w:type="dxa"/>
            <w:vAlign w:val="center"/>
            <w:hideMark/>
          </w:tcPr>
          <w:p w14:paraId="7C8F09CC" w14:textId="77777777" w:rsidR="00A20F86" w:rsidRPr="00A20F86" w:rsidRDefault="00A20F86" w:rsidP="00A20F86">
            <w:pPr>
              <w:spacing w:after="0" w:line="240" w:lineRule="auto"/>
              <w:jc w:val="center"/>
              <w:rPr>
                <w:rFonts w:ascii="Arial" w:eastAsia="Times New Roman" w:hAnsi="Arial" w:cs="Arial"/>
                <w:color w:val="000000"/>
                <w:kern w:val="0"/>
                <w:sz w:val="22"/>
                <w:szCs w:val="22"/>
                <w:lang w:eastAsia="en-GB"/>
                <w14:ligatures w14:val="none"/>
              </w:rPr>
            </w:pPr>
            <w:r w:rsidRPr="00A20F86">
              <w:rPr>
                <w:rFonts w:ascii="Arial" w:eastAsia="Times New Roman" w:hAnsi="Arial" w:cs="Arial"/>
                <w:color w:val="000000"/>
                <w:kern w:val="0"/>
                <w:sz w:val="20"/>
                <w:szCs w:val="20"/>
                <w:lang w:eastAsia="en-GB"/>
                <w14:ligatures w14:val="none"/>
              </w:rPr>
              <w:t>33,586</w:t>
            </w:r>
          </w:p>
        </w:tc>
        <w:tc>
          <w:tcPr>
            <w:tcW w:w="1354" w:type="dxa"/>
            <w:vAlign w:val="center"/>
            <w:hideMark/>
          </w:tcPr>
          <w:p w14:paraId="1677DB23" w14:textId="77777777" w:rsidR="00A20F86" w:rsidRPr="00A20F86" w:rsidRDefault="00A20F86" w:rsidP="00A20F86">
            <w:pPr>
              <w:spacing w:after="0" w:line="240" w:lineRule="auto"/>
              <w:jc w:val="center"/>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33,586</w:t>
            </w:r>
          </w:p>
        </w:tc>
        <w:tc>
          <w:tcPr>
            <w:tcW w:w="1359" w:type="dxa"/>
            <w:vAlign w:val="center"/>
            <w:hideMark/>
          </w:tcPr>
          <w:p w14:paraId="0F1E834B" w14:textId="77777777" w:rsidR="00A20F86" w:rsidRPr="00A20F86" w:rsidRDefault="00A20F86" w:rsidP="00A20F86">
            <w:pPr>
              <w:spacing w:after="0" w:line="240" w:lineRule="auto"/>
              <w:jc w:val="center"/>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96,187</w:t>
            </w:r>
          </w:p>
        </w:tc>
        <w:tc>
          <w:tcPr>
            <w:tcW w:w="1110" w:type="dxa"/>
            <w:vAlign w:val="center"/>
            <w:hideMark/>
          </w:tcPr>
          <w:p w14:paraId="209F82DB" w14:textId="77777777" w:rsidR="00A20F86" w:rsidRPr="00A20F86" w:rsidRDefault="00A20F86" w:rsidP="00A20F86">
            <w:pPr>
              <w:spacing w:after="0" w:line="240" w:lineRule="auto"/>
              <w:jc w:val="center"/>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176,540</w:t>
            </w:r>
          </w:p>
        </w:tc>
      </w:tr>
      <w:tr w:rsidR="00A20F86" w:rsidRPr="00A20F86" w14:paraId="30705E74" w14:textId="77777777" w:rsidTr="00697A4E">
        <w:trPr>
          <w:trHeight w:val="300"/>
        </w:trPr>
        <w:tc>
          <w:tcPr>
            <w:tcW w:w="3895" w:type="dxa"/>
            <w:vAlign w:val="center"/>
            <w:hideMark/>
          </w:tcPr>
          <w:p w14:paraId="1A6FCF3D" w14:textId="77777777" w:rsidR="00A20F86" w:rsidRPr="00A20F86" w:rsidRDefault="00A20F86" w:rsidP="00A20F86">
            <w:pPr>
              <w:spacing w:after="0" w:line="240" w:lineRule="auto"/>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C/balance</w:t>
            </w:r>
          </w:p>
        </w:tc>
        <w:tc>
          <w:tcPr>
            <w:tcW w:w="1354" w:type="dxa"/>
            <w:vAlign w:val="center"/>
            <w:hideMark/>
          </w:tcPr>
          <w:p w14:paraId="4E6E0D08"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92,587</w:t>
            </w:r>
          </w:p>
        </w:tc>
        <w:tc>
          <w:tcPr>
            <w:tcW w:w="1354" w:type="dxa"/>
            <w:vAlign w:val="center"/>
            <w:hideMark/>
          </w:tcPr>
          <w:p w14:paraId="6EF6DCBF"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96,187</w:t>
            </w:r>
          </w:p>
        </w:tc>
        <w:tc>
          <w:tcPr>
            <w:tcW w:w="1359" w:type="dxa"/>
            <w:vAlign w:val="center"/>
            <w:hideMark/>
          </w:tcPr>
          <w:p w14:paraId="0F7F7A5C"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176,540</w:t>
            </w:r>
          </w:p>
        </w:tc>
        <w:tc>
          <w:tcPr>
            <w:tcW w:w="1110" w:type="dxa"/>
            <w:vAlign w:val="center"/>
            <w:hideMark/>
          </w:tcPr>
          <w:p w14:paraId="2885CF59"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283,175</w:t>
            </w:r>
          </w:p>
        </w:tc>
      </w:tr>
    </w:tbl>
    <w:p w14:paraId="2B30F138" w14:textId="77777777" w:rsid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ab/>
      </w:r>
    </w:p>
    <w:p w14:paraId="61E448CD" w14:textId="0FA2B635"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Pr>
          <w:rFonts w:ascii="Arial" w:eastAsia="Times New Roman" w:hAnsi="Arial" w:cs="Times New Roman"/>
          <w:kern w:val="0"/>
          <w:lang w:eastAsia="en-GB"/>
          <w14:ligatures w14:val="none"/>
        </w:rPr>
        <w:tab/>
      </w:r>
      <w:r w:rsidRPr="00A20F86">
        <w:rPr>
          <w:rFonts w:ascii="Arial" w:eastAsia="Times New Roman" w:hAnsi="Arial" w:cs="Times New Roman"/>
          <w:b/>
          <w:bCs/>
          <w:kern w:val="0"/>
          <w:lang w:eastAsia="en-GB"/>
          <w14:ligatures w14:val="none"/>
        </w:rPr>
        <w:t>High Needs Stability Grant (HNSG)</w:t>
      </w:r>
    </w:p>
    <w:p w14:paraId="0DC9D750" w14:textId="77777777" w:rsidR="00A20F86" w:rsidRPr="00A20F86" w:rsidRDefault="00A20F86" w:rsidP="00A20F86">
      <w:pPr>
        <w:spacing w:after="0" w:line="240" w:lineRule="auto"/>
        <w:ind w:left="567" w:hanging="567"/>
        <w:rPr>
          <w:rFonts w:ascii="Arial" w:eastAsia="Times New Roman" w:hAnsi="Arial" w:cs="Times New Roman"/>
          <w:b/>
          <w:bCs/>
          <w:kern w:val="0"/>
          <w:lang w:eastAsia="en-GB"/>
          <w14:ligatures w14:val="none"/>
        </w:rPr>
      </w:pPr>
    </w:p>
    <w:p w14:paraId="1355CEB0"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7.11</w:t>
      </w:r>
      <w:r w:rsidRPr="00A20F86">
        <w:rPr>
          <w:rFonts w:ascii="Arial" w:eastAsia="Times New Roman" w:hAnsi="Arial" w:cs="Times New Roman"/>
          <w:kern w:val="0"/>
          <w:lang w:eastAsia="en-GB"/>
          <w14:ligatures w14:val="none"/>
        </w:rPr>
        <w:tab/>
        <w:t xml:space="preserve">The government has confirmed additional support for local authority’s with DSG deficits through the HNSG. The approach taken will be to provide funding equivalent to 90% of the overall DSG deficit (includes all 4 DSG blocks) accumulated up the end of 2025/26. Further support will be provided for deficits accrued in 2026/27 and 2027/28 however, the extent of that support has yet to be confirmed. Eligibility for the HNSG is dependent on the Local Authority’s SEND Reform Plan being approved by the DfE, with the outcome of this decision expected during the Autumn. The forecast value of the HNSG for financial years 2025/26 to 2027/28 is set out in </w:t>
      </w:r>
      <w:r w:rsidRPr="00A20F86">
        <w:rPr>
          <w:rFonts w:ascii="Arial" w:eastAsia="Times New Roman" w:hAnsi="Arial" w:cs="Times New Roman"/>
          <w:b/>
          <w:bCs/>
          <w:kern w:val="0"/>
          <w:lang w:eastAsia="en-GB"/>
          <w14:ligatures w14:val="none"/>
        </w:rPr>
        <w:t>Table 10</w:t>
      </w:r>
      <w:r w:rsidRPr="00A20F86">
        <w:rPr>
          <w:rFonts w:ascii="Arial" w:eastAsia="Times New Roman" w:hAnsi="Arial" w:cs="Times New Roman"/>
          <w:kern w:val="0"/>
          <w:lang w:eastAsia="en-GB"/>
          <w14:ligatures w14:val="none"/>
        </w:rPr>
        <w:t>.</w:t>
      </w:r>
    </w:p>
    <w:p w14:paraId="5DE6F95F"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ab/>
      </w:r>
    </w:p>
    <w:tbl>
      <w:tblPr>
        <w:tblW w:w="7962" w:type="dxa"/>
        <w:tblInd w:w="55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895"/>
        <w:gridCol w:w="1354"/>
        <w:gridCol w:w="1354"/>
        <w:gridCol w:w="1359"/>
      </w:tblGrid>
      <w:tr w:rsidR="00A20F86" w:rsidRPr="00A20F86" w14:paraId="2E66B45B" w14:textId="77777777" w:rsidTr="00697A4E">
        <w:trPr>
          <w:trHeight w:val="371"/>
        </w:trPr>
        <w:tc>
          <w:tcPr>
            <w:tcW w:w="3895" w:type="dxa"/>
            <w:tcBorders>
              <w:top w:val="single" w:sz="4" w:space="0" w:color="FF0000"/>
              <w:left w:val="dotted" w:sz="4" w:space="0" w:color="FF0000"/>
              <w:bottom w:val="single" w:sz="4" w:space="0" w:color="E40037"/>
              <w:right w:val="single" w:sz="4" w:space="0" w:color="E40037"/>
            </w:tcBorders>
            <w:shd w:val="clear" w:color="000000" w:fill="E40037"/>
          </w:tcPr>
          <w:p w14:paraId="00F99DA3" w14:textId="77777777" w:rsidR="00A20F86" w:rsidRPr="00A20F86" w:rsidRDefault="00A20F86" w:rsidP="00A20F86">
            <w:pPr>
              <w:spacing w:after="0" w:line="240" w:lineRule="auto"/>
              <w:rPr>
                <w:rFonts w:ascii="Arial" w:eastAsia="Times New Roman" w:hAnsi="Arial" w:cs="Arial"/>
                <w:kern w:val="0"/>
                <w:sz w:val="20"/>
                <w:szCs w:val="20"/>
                <w:lang w:eastAsia="en-GB"/>
                <w14:ligatures w14:val="none"/>
              </w:rPr>
            </w:pPr>
          </w:p>
        </w:tc>
        <w:tc>
          <w:tcPr>
            <w:tcW w:w="1354" w:type="dxa"/>
            <w:tcBorders>
              <w:top w:val="single" w:sz="4" w:space="0" w:color="FF0000"/>
              <w:left w:val="single" w:sz="4" w:space="0" w:color="E40037"/>
              <w:bottom w:val="single" w:sz="4" w:space="0" w:color="E40037"/>
              <w:right w:val="single" w:sz="4" w:space="0" w:color="E40037"/>
            </w:tcBorders>
            <w:shd w:val="clear" w:color="000000" w:fill="E40037"/>
            <w:vAlign w:val="center"/>
          </w:tcPr>
          <w:p w14:paraId="03212DD1" w14:textId="77777777" w:rsidR="00A20F86" w:rsidRPr="00A20F86" w:rsidRDefault="00A20F86" w:rsidP="00A20F86">
            <w:pPr>
              <w:spacing w:after="0" w:line="240" w:lineRule="auto"/>
              <w:jc w:val="center"/>
              <w:rPr>
                <w:rFonts w:ascii="Arial" w:eastAsia="Times New Roman" w:hAnsi="Arial" w:cs="Arial"/>
                <w:b/>
                <w:bCs/>
                <w:color w:val="FFFFFF"/>
                <w:kern w:val="0"/>
                <w:sz w:val="20"/>
                <w:szCs w:val="20"/>
                <w:lang w:eastAsia="en-GB"/>
                <w14:ligatures w14:val="none"/>
              </w:rPr>
            </w:pPr>
            <w:r w:rsidRPr="00A20F86">
              <w:rPr>
                <w:rFonts w:ascii="Arial" w:eastAsia="Times New Roman" w:hAnsi="Arial" w:cs="Arial"/>
                <w:b/>
                <w:bCs/>
                <w:color w:val="FFFFFF"/>
                <w:kern w:val="0"/>
                <w:sz w:val="20"/>
                <w:szCs w:val="20"/>
                <w:lang w:eastAsia="en-GB"/>
                <w14:ligatures w14:val="none"/>
              </w:rPr>
              <w:t>2025/26</w:t>
            </w:r>
          </w:p>
        </w:tc>
        <w:tc>
          <w:tcPr>
            <w:tcW w:w="1354" w:type="dxa"/>
            <w:tcBorders>
              <w:top w:val="single" w:sz="4" w:space="0" w:color="FF0000"/>
              <w:left w:val="single" w:sz="4" w:space="0" w:color="E40037"/>
              <w:bottom w:val="single" w:sz="4" w:space="0" w:color="E40037"/>
              <w:right w:val="single" w:sz="4" w:space="0" w:color="E40037"/>
            </w:tcBorders>
            <w:shd w:val="clear" w:color="000000" w:fill="E40037"/>
            <w:vAlign w:val="center"/>
          </w:tcPr>
          <w:p w14:paraId="2AE755DD" w14:textId="77777777" w:rsidR="00A20F86" w:rsidRPr="00A20F86" w:rsidRDefault="00A20F86" w:rsidP="00A20F86">
            <w:pPr>
              <w:spacing w:after="0" w:line="240" w:lineRule="auto"/>
              <w:jc w:val="center"/>
              <w:rPr>
                <w:rFonts w:ascii="Arial" w:eastAsia="Times New Roman" w:hAnsi="Arial" w:cs="Arial"/>
                <w:b/>
                <w:bCs/>
                <w:color w:val="FFFFFF"/>
                <w:kern w:val="0"/>
                <w:sz w:val="20"/>
                <w:szCs w:val="20"/>
                <w:lang w:eastAsia="en-GB"/>
                <w14:ligatures w14:val="none"/>
              </w:rPr>
            </w:pPr>
            <w:r w:rsidRPr="00A20F86">
              <w:rPr>
                <w:rFonts w:ascii="Arial" w:eastAsia="Times New Roman" w:hAnsi="Arial" w:cs="Arial"/>
                <w:b/>
                <w:bCs/>
                <w:color w:val="FFFFFF"/>
                <w:kern w:val="0"/>
                <w:sz w:val="20"/>
                <w:szCs w:val="20"/>
                <w:lang w:eastAsia="en-GB"/>
                <w14:ligatures w14:val="none"/>
              </w:rPr>
              <w:t>2026/27</w:t>
            </w:r>
          </w:p>
        </w:tc>
        <w:tc>
          <w:tcPr>
            <w:tcW w:w="1359" w:type="dxa"/>
            <w:tcBorders>
              <w:top w:val="single" w:sz="4" w:space="0" w:color="FF0000"/>
              <w:left w:val="single" w:sz="4" w:space="0" w:color="E40037"/>
              <w:bottom w:val="single" w:sz="4" w:space="0" w:color="E40037"/>
              <w:right w:val="dotted" w:sz="4" w:space="0" w:color="FF0000"/>
            </w:tcBorders>
            <w:shd w:val="clear" w:color="000000" w:fill="E40037"/>
            <w:vAlign w:val="center"/>
          </w:tcPr>
          <w:p w14:paraId="07D5C156" w14:textId="77777777" w:rsidR="00A20F86" w:rsidRPr="00A20F86" w:rsidRDefault="00A20F86" w:rsidP="00A20F86">
            <w:pPr>
              <w:spacing w:after="0" w:line="240" w:lineRule="auto"/>
              <w:jc w:val="center"/>
              <w:rPr>
                <w:rFonts w:ascii="Arial" w:eastAsia="Times New Roman" w:hAnsi="Arial" w:cs="Arial"/>
                <w:b/>
                <w:bCs/>
                <w:color w:val="FFFFFF"/>
                <w:kern w:val="0"/>
                <w:sz w:val="20"/>
                <w:szCs w:val="20"/>
                <w:lang w:eastAsia="en-GB"/>
                <w14:ligatures w14:val="none"/>
              </w:rPr>
            </w:pPr>
            <w:r w:rsidRPr="00A20F86">
              <w:rPr>
                <w:rFonts w:ascii="Arial" w:eastAsia="Times New Roman" w:hAnsi="Arial" w:cs="Arial"/>
                <w:b/>
                <w:bCs/>
                <w:color w:val="FFFFFF"/>
                <w:kern w:val="0"/>
                <w:sz w:val="20"/>
                <w:szCs w:val="20"/>
                <w:lang w:eastAsia="en-GB"/>
                <w14:ligatures w14:val="none"/>
              </w:rPr>
              <w:t>2027/28</w:t>
            </w:r>
          </w:p>
        </w:tc>
      </w:tr>
      <w:tr w:rsidR="00A20F86" w:rsidRPr="00A20F86" w14:paraId="04E4FEDD" w14:textId="77777777" w:rsidTr="00697A4E">
        <w:trPr>
          <w:trHeight w:val="310"/>
        </w:trPr>
        <w:tc>
          <w:tcPr>
            <w:tcW w:w="3895" w:type="dxa"/>
            <w:tcBorders>
              <w:top w:val="single" w:sz="4" w:space="0" w:color="E40037"/>
              <w:bottom w:val="dotted" w:sz="4" w:space="0" w:color="FF0000"/>
            </w:tcBorders>
            <w:vAlign w:val="center"/>
          </w:tcPr>
          <w:p w14:paraId="3521DA6B" w14:textId="77777777" w:rsidR="00A20F86" w:rsidRPr="00A20F86" w:rsidRDefault="00A20F86" w:rsidP="00A20F86">
            <w:pPr>
              <w:spacing w:after="0" w:line="240" w:lineRule="auto"/>
              <w:rPr>
                <w:rFonts w:ascii="Arial" w:eastAsia="Times New Roman" w:hAnsi="Arial" w:cs="Arial"/>
                <w:color w:val="FF0000"/>
                <w:kern w:val="0"/>
                <w:sz w:val="20"/>
                <w:szCs w:val="20"/>
                <w:lang w:eastAsia="en-GB"/>
                <w14:ligatures w14:val="none"/>
              </w:rPr>
            </w:pPr>
            <w:r w:rsidRPr="00A20F86">
              <w:rPr>
                <w:rFonts w:ascii="Arial" w:eastAsia="Times New Roman" w:hAnsi="Arial" w:cs="Arial"/>
                <w:kern w:val="0"/>
                <w:sz w:val="20"/>
                <w:szCs w:val="20"/>
                <w:lang w:eastAsia="en-GB"/>
                <w14:ligatures w14:val="none"/>
              </w:rPr>
              <w:t>HNSG (£000): 1.0%</w:t>
            </w:r>
          </w:p>
        </w:tc>
        <w:tc>
          <w:tcPr>
            <w:tcW w:w="1354" w:type="dxa"/>
            <w:tcBorders>
              <w:top w:val="single" w:sz="4" w:space="0" w:color="E40037"/>
              <w:bottom w:val="dotted" w:sz="4" w:space="0" w:color="FF0000"/>
            </w:tcBorders>
            <w:vAlign w:val="center"/>
          </w:tcPr>
          <w:p w14:paraId="6EC50469"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(22.1)</w:t>
            </w:r>
          </w:p>
        </w:tc>
        <w:tc>
          <w:tcPr>
            <w:tcW w:w="1354" w:type="dxa"/>
            <w:tcBorders>
              <w:top w:val="single" w:sz="4" w:space="0" w:color="E40037"/>
              <w:bottom w:val="dotted" w:sz="4" w:space="0" w:color="FF0000"/>
            </w:tcBorders>
            <w:vAlign w:val="center"/>
          </w:tcPr>
          <w:p w14:paraId="174727EC"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(43.8)</w:t>
            </w:r>
          </w:p>
        </w:tc>
        <w:tc>
          <w:tcPr>
            <w:tcW w:w="1359" w:type="dxa"/>
            <w:tcBorders>
              <w:top w:val="single" w:sz="4" w:space="0" w:color="E40037"/>
              <w:bottom w:val="dotted" w:sz="4" w:space="0" w:color="FF0000"/>
            </w:tcBorders>
            <w:vAlign w:val="center"/>
          </w:tcPr>
          <w:p w14:paraId="1FD336AB"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(56.2)</w:t>
            </w:r>
          </w:p>
        </w:tc>
      </w:tr>
      <w:tr w:rsidR="00A20F86" w:rsidRPr="00A20F86" w14:paraId="246E3E17" w14:textId="77777777" w:rsidTr="00697A4E">
        <w:trPr>
          <w:trHeight w:val="310"/>
        </w:trPr>
        <w:tc>
          <w:tcPr>
            <w:tcW w:w="3895" w:type="dxa"/>
            <w:tcBorders>
              <w:top w:val="dotted" w:sz="4" w:space="0" w:color="FF0000"/>
              <w:bottom w:val="dotted" w:sz="4" w:space="0" w:color="FF0000"/>
            </w:tcBorders>
            <w:vAlign w:val="center"/>
          </w:tcPr>
          <w:p w14:paraId="6012155D" w14:textId="77777777" w:rsidR="00A20F86" w:rsidRPr="00A20F86" w:rsidRDefault="00A20F86" w:rsidP="00A20F86">
            <w:pPr>
              <w:spacing w:after="0" w:line="240" w:lineRule="auto"/>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HNSG (£000): 1.2%</w:t>
            </w:r>
          </w:p>
        </w:tc>
        <w:tc>
          <w:tcPr>
            <w:tcW w:w="1354" w:type="dxa"/>
            <w:tcBorders>
              <w:top w:val="dotted" w:sz="4" w:space="0" w:color="FF0000"/>
              <w:bottom w:val="dotted" w:sz="4" w:space="0" w:color="FF0000"/>
            </w:tcBorders>
            <w:vAlign w:val="center"/>
          </w:tcPr>
          <w:p w14:paraId="30CA69A7"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(22.1)</w:t>
            </w:r>
          </w:p>
        </w:tc>
        <w:tc>
          <w:tcPr>
            <w:tcW w:w="1354" w:type="dxa"/>
            <w:tcBorders>
              <w:top w:val="dotted" w:sz="4" w:space="0" w:color="FF0000"/>
              <w:bottom w:val="dotted" w:sz="4" w:space="0" w:color="FF0000"/>
            </w:tcBorders>
            <w:vAlign w:val="center"/>
          </w:tcPr>
          <w:p w14:paraId="6043EF7A"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(43.8)</w:t>
            </w:r>
          </w:p>
        </w:tc>
        <w:tc>
          <w:tcPr>
            <w:tcW w:w="1359" w:type="dxa"/>
            <w:tcBorders>
              <w:top w:val="dotted" w:sz="4" w:space="0" w:color="FF0000"/>
              <w:bottom w:val="dotted" w:sz="4" w:space="0" w:color="FF0000"/>
            </w:tcBorders>
            <w:vAlign w:val="center"/>
          </w:tcPr>
          <w:p w14:paraId="294703EC"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(53.9)</w:t>
            </w:r>
          </w:p>
        </w:tc>
      </w:tr>
      <w:tr w:rsidR="00A20F86" w:rsidRPr="00A20F86" w14:paraId="1C3727AE" w14:textId="77777777" w:rsidTr="00697A4E">
        <w:trPr>
          <w:trHeight w:val="310"/>
        </w:trPr>
        <w:tc>
          <w:tcPr>
            <w:tcW w:w="3895" w:type="dxa"/>
            <w:tcBorders>
              <w:top w:val="dotted" w:sz="4" w:space="0" w:color="FF0000"/>
            </w:tcBorders>
            <w:vAlign w:val="center"/>
          </w:tcPr>
          <w:p w14:paraId="3450CB87" w14:textId="77777777" w:rsidR="00A20F86" w:rsidRPr="00A20F86" w:rsidRDefault="00A20F86" w:rsidP="00A20F86">
            <w:pPr>
              <w:spacing w:after="0" w:line="240" w:lineRule="auto"/>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 of DSG Deficit</w:t>
            </w:r>
          </w:p>
        </w:tc>
        <w:tc>
          <w:tcPr>
            <w:tcW w:w="1354" w:type="dxa"/>
            <w:tcBorders>
              <w:top w:val="dotted" w:sz="4" w:space="0" w:color="FF0000"/>
            </w:tcBorders>
            <w:vAlign w:val="center"/>
          </w:tcPr>
          <w:p w14:paraId="1A9CC559"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90%</w:t>
            </w:r>
          </w:p>
        </w:tc>
        <w:tc>
          <w:tcPr>
            <w:tcW w:w="1354" w:type="dxa"/>
            <w:tcBorders>
              <w:top w:val="dotted" w:sz="4" w:space="0" w:color="FF0000"/>
            </w:tcBorders>
            <w:vAlign w:val="center"/>
          </w:tcPr>
          <w:p w14:paraId="0B4BAFDE"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70%</w:t>
            </w:r>
          </w:p>
        </w:tc>
        <w:tc>
          <w:tcPr>
            <w:tcW w:w="1359" w:type="dxa"/>
            <w:tcBorders>
              <w:top w:val="dotted" w:sz="4" w:space="0" w:color="FF0000"/>
            </w:tcBorders>
            <w:vAlign w:val="center"/>
          </w:tcPr>
          <w:p w14:paraId="71A68487"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70%</w:t>
            </w:r>
          </w:p>
        </w:tc>
      </w:tr>
    </w:tbl>
    <w:p w14:paraId="0AFA02C6"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32B4F664" w14:textId="77777777" w:rsid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34492120" w14:textId="7034BFF4"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lastRenderedPageBreak/>
        <w:t xml:space="preserve">7.12 The impact of the HNSG on the HNB forecast is set out in </w:t>
      </w:r>
      <w:r w:rsidRPr="00A20F86">
        <w:rPr>
          <w:rFonts w:ascii="Arial" w:eastAsia="Times New Roman" w:hAnsi="Arial" w:cs="Times New Roman"/>
          <w:b/>
          <w:bCs/>
          <w:kern w:val="0"/>
          <w:lang w:eastAsia="en-GB"/>
          <w14:ligatures w14:val="none"/>
        </w:rPr>
        <w:t xml:space="preserve">Table 11 </w:t>
      </w:r>
    </w:p>
    <w:p w14:paraId="74888F21"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 xml:space="preserve"> </w:t>
      </w:r>
    </w:p>
    <w:tbl>
      <w:tblPr>
        <w:tblW w:w="7962" w:type="dxa"/>
        <w:tblInd w:w="55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895"/>
        <w:gridCol w:w="1354"/>
        <w:gridCol w:w="1354"/>
        <w:gridCol w:w="1359"/>
      </w:tblGrid>
      <w:tr w:rsidR="00A20F86" w:rsidRPr="00A20F86" w14:paraId="43FC5350" w14:textId="77777777" w:rsidTr="00697A4E">
        <w:trPr>
          <w:trHeight w:val="860"/>
        </w:trPr>
        <w:tc>
          <w:tcPr>
            <w:tcW w:w="3895" w:type="dxa"/>
            <w:tcBorders>
              <w:top w:val="single" w:sz="4" w:space="0" w:color="FF0000"/>
              <w:left w:val="dotted" w:sz="4" w:space="0" w:color="FF0000"/>
              <w:bottom w:val="single" w:sz="4" w:space="0" w:color="E40037"/>
              <w:right w:val="single" w:sz="4" w:space="0" w:color="E40037"/>
            </w:tcBorders>
            <w:shd w:val="clear" w:color="000000" w:fill="E40037"/>
            <w:hideMark/>
          </w:tcPr>
          <w:p w14:paraId="35E7E245" w14:textId="77777777" w:rsidR="00A20F86" w:rsidRPr="00A20F86" w:rsidRDefault="00A20F86" w:rsidP="00A20F86">
            <w:pPr>
              <w:spacing w:after="0" w:line="240" w:lineRule="auto"/>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 </w:t>
            </w:r>
          </w:p>
        </w:tc>
        <w:tc>
          <w:tcPr>
            <w:tcW w:w="1354" w:type="dxa"/>
            <w:tcBorders>
              <w:top w:val="single" w:sz="4" w:space="0" w:color="FF0000"/>
              <w:left w:val="single" w:sz="4" w:space="0" w:color="E40037"/>
              <w:bottom w:val="single" w:sz="4" w:space="0" w:color="E40037"/>
              <w:right w:val="single" w:sz="4" w:space="0" w:color="E40037"/>
            </w:tcBorders>
            <w:shd w:val="clear" w:color="000000" w:fill="E40037"/>
            <w:vAlign w:val="bottom"/>
            <w:hideMark/>
          </w:tcPr>
          <w:p w14:paraId="1BE03F85" w14:textId="77777777" w:rsidR="00A20F86" w:rsidRPr="00A20F86" w:rsidRDefault="00A20F86" w:rsidP="00A20F86">
            <w:pPr>
              <w:spacing w:after="0" w:line="240" w:lineRule="auto"/>
              <w:jc w:val="center"/>
              <w:rPr>
                <w:rFonts w:ascii="Arial" w:eastAsia="Times New Roman" w:hAnsi="Arial" w:cs="Arial"/>
                <w:b/>
                <w:bCs/>
                <w:color w:val="FFFFFF"/>
                <w:kern w:val="0"/>
                <w:sz w:val="20"/>
                <w:szCs w:val="20"/>
                <w:lang w:eastAsia="en-GB"/>
                <w14:ligatures w14:val="none"/>
              </w:rPr>
            </w:pPr>
            <w:r w:rsidRPr="00A20F86">
              <w:rPr>
                <w:rFonts w:ascii="Arial" w:eastAsia="Times New Roman" w:hAnsi="Arial" w:cs="Arial"/>
                <w:b/>
                <w:bCs/>
                <w:color w:val="FFFFFF"/>
                <w:kern w:val="0"/>
                <w:sz w:val="20"/>
                <w:szCs w:val="20"/>
                <w:lang w:eastAsia="en-GB"/>
                <w14:ligatures w14:val="none"/>
              </w:rPr>
              <w:t>2026/27 Outturn   £m</w:t>
            </w:r>
          </w:p>
        </w:tc>
        <w:tc>
          <w:tcPr>
            <w:tcW w:w="1354" w:type="dxa"/>
            <w:tcBorders>
              <w:top w:val="single" w:sz="4" w:space="0" w:color="FF0000"/>
              <w:left w:val="single" w:sz="4" w:space="0" w:color="E40037"/>
              <w:bottom w:val="single" w:sz="4" w:space="0" w:color="E40037"/>
              <w:right w:val="single" w:sz="4" w:space="0" w:color="E40037"/>
            </w:tcBorders>
            <w:shd w:val="clear" w:color="000000" w:fill="E40037"/>
            <w:vAlign w:val="bottom"/>
            <w:hideMark/>
          </w:tcPr>
          <w:p w14:paraId="04F18B9D" w14:textId="77777777" w:rsidR="00A20F86" w:rsidRPr="00A20F86" w:rsidRDefault="00A20F86" w:rsidP="00A20F86">
            <w:pPr>
              <w:spacing w:after="0" w:line="240" w:lineRule="auto"/>
              <w:jc w:val="center"/>
              <w:rPr>
                <w:rFonts w:ascii="Arial" w:eastAsia="Times New Roman" w:hAnsi="Arial" w:cs="Arial"/>
                <w:b/>
                <w:bCs/>
                <w:color w:val="FFFFFF"/>
                <w:kern w:val="0"/>
                <w:sz w:val="20"/>
                <w:szCs w:val="20"/>
                <w:lang w:eastAsia="en-GB"/>
                <w14:ligatures w14:val="none"/>
              </w:rPr>
            </w:pPr>
            <w:r w:rsidRPr="00A20F86">
              <w:rPr>
                <w:rFonts w:ascii="Arial" w:eastAsia="Times New Roman" w:hAnsi="Arial" w:cs="Arial"/>
                <w:b/>
                <w:bCs/>
                <w:color w:val="FFFFFF"/>
                <w:kern w:val="0"/>
                <w:sz w:val="20"/>
                <w:szCs w:val="20"/>
                <w:lang w:eastAsia="en-GB"/>
                <w14:ligatures w14:val="none"/>
              </w:rPr>
              <w:t>2027/28   £m</w:t>
            </w:r>
          </w:p>
        </w:tc>
        <w:tc>
          <w:tcPr>
            <w:tcW w:w="1359" w:type="dxa"/>
            <w:tcBorders>
              <w:top w:val="single" w:sz="4" w:space="0" w:color="FF0000"/>
              <w:left w:val="single" w:sz="4" w:space="0" w:color="E40037"/>
              <w:bottom w:val="single" w:sz="4" w:space="0" w:color="E40037"/>
              <w:right w:val="dotted" w:sz="4" w:space="0" w:color="FF0000"/>
            </w:tcBorders>
            <w:shd w:val="clear" w:color="000000" w:fill="E40037"/>
            <w:vAlign w:val="bottom"/>
            <w:hideMark/>
          </w:tcPr>
          <w:p w14:paraId="4185C5A6" w14:textId="77777777" w:rsidR="00A20F86" w:rsidRPr="00A20F86" w:rsidRDefault="00A20F86" w:rsidP="00A20F86">
            <w:pPr>
              <w:spacing w:after="0" w:line="240" w:lineRule="auto"/>
              <w:jc w:val="center"/>
              <w:rPr>
                <w:rFonts w:ascii="Arial" w:eastAsia="Times New Roman" w:hAnsi="Arial" w:cs="Arial"/>
                <w:b/>
                <w:bCs/>
                <w:color w:val="FFFFFF"/>
                <w:kern w:val="0"/>
                <w:sz w:val="20"/>
                <w:szCs w:val="20"/>
                <w:lang w:eastAsia="en-GB"/>
                <w14:ligatures w14:val="none"/>
              </w:rPr>
            </w:pPr>
            <w:r w:rsidRPr="00A20F86">
              <w:rPr>
                <w:rFonts w:ascii="Arial" w:eastAsia="Times New Roman" w:hAnsi="Arial" w:cs="Arial"/>
                <w:b/>
                <w:bCs/>
                <w:color w:val="FFFFFF"/>
                <w:kern w:val="0"/>
                <w:sz w:val="20"/>
                <w:szCs w:val="20"/>
                <w:lang w:eastAsia="en-GB"/>
                <w14:ligatures w14:val="none"/>
              </w:rPr>
              <w:t>2028/29   £m</w:t>
            </w:r>
          </w:p>
        </w:tc>
      </w:tr>
      <w:tr w:rsidR="00A20F86" w:rsidRPr="00A20F86" w14:paraId="60CD2F0F" w14:textId="77777777" w:rsidTr="00697A4E">
        <w:trPr>
          <w:trHeight w:val="310"/>
        </w:trPr>
        <w:tc>
          <w:tcPr>
            <w:tcW w:w="3895" w:type="dxa"/>
            <w:tcBorders>
              <w:top w:val="single" w:sz="4" w:space="0" w:color="E40037"/>
            </w:tcBorders>
            <w:vAlign w:val="center"/>
            <w:hideMark/>
          </w:tcPr>
          <w:p w14:paraId="4214EE04" w14:textId="77777777" w:rsidR="00A20F86" w:rsidRPr="00A20F86" w:rsidRDefault="00A20F86" w:rsidP="00A20F86">
            <w:pPr>
              <w:spacing w:after="0" w:line="240" w:lineRule="auto"/>
              <w:rPr>
                <w:rFonts w:ascii="Arial" w:eastAsia="Times New Roman" w:hAnsi="Arial" w:cs="Arial"/>
                <w:b/>
                <w:bCs/>
                <w:color w:val="FF0000"/>
                <w:kern w:val="0"/>
                <w:sz w:val="20"/>
                <w:szCs w:val="20"/>
                <w:lang w:eastAsia="en-GB"/>
                <w14:ligatures w14:val="none"/>
              </w:rPr>
            </w:pPr>
            <w:r w:rsidRPr="00A20F86">
              <w:rPr>
                <w:rFonts w:ascii="Arial" w:eastAsia="Times New Roman" w:hAnsi="Arial" w:cs="Arial"/>
                <w:b/>
                <w:bCs/>
                <w:kern w:val="0"/>
                <w:sz w:val="20"/>
                <w:szCs w:val="20"/>
                <w:lang w:eastAsia="en-GB"/>
                <w14:ligatures w14:val="none"/>
              </w:rPr>
              <w:t>(Surplus)</w:t>
            </w:r>
            <w:r w:rsidRPr="00A20F86">
              <w:rPr>
                <w:rFonts w:ascii="Arial" w:eastAsia="Times New Roman" w:hAnsi="Arial" w:cs="Arial"/>
                <w:b/>
                <w:bCs/>
                <w:color w:val="000000"/>
                <w:kern w:val="0"/>
                <w:sz w:val="20"/>
                <w:szCs w:val="20"/>
                <w:lang w:eastAsia="en-GB"/>
                <w14:ligatures w14:val="none"/>
              </w:rPr>
              <w:t xml:space="preserve"> / Deficit</w:t>
            </w:r>
          </w:p>
        </w:tc>
        <w:tc>
          <w:tcPr>
            <w:tcW w:w="1354" w:type="dxa"/>
            <w:tcBorders>
              <w:top w:val="single" w:sz="4" w:space="0" w:color="E40037"/>
            </w:tcBorders>
            <w:vAlign w:val="center"/>
            <w:hideMark/>
          </w:tcPr>
          <w:p w14:paraId="37FBF402"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75.7</w:t>
            </w:r>
          </w:p>
        </w:tc>
        <w:tc>
          <w:tcPr>
            <w:tcW w:w="1354" w:type="dxa"/>
            <w:tcBorders>
              <w:top w:val="single" w:sz="4" w:space="0" w:color="E40037"/>
            </w:tcBorders>
            <w:vAlign w:val="center"/>
            <w:hideMark/>
          </w:tcPr>
          <w:p w14:paraId="57CCC16C"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93.6</w:t>
            </w:r>
          </w:p>
        </w:tc>
        <w:tc>
          <w:tcPr>
            <w:tcW w:w="1359" w:type="dxa"/>
            <w:tcBorders>
              <w:top w:val="single" w:sz="4" w:space="0" w:color="E40037"/>
            </w:tcBorders>
            <w:vAlign w:val="center"/>
            <w:hideMark/>
          </w:tcPr>
          <w:p w14:paraId="65253E20"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119.9</w:t>
            </w:r>
          </w:p>
        </w:tc>
      </w:tr>
      <w:tr w:rsidR="00A20F86" w:rsidRPr="00A20F86" w14:paraId="7C4721AE" w14:textId="77777777" w:rsidTr="00697A4E">
        <w:trPr>
          <w:trHeight w:val="300"/>
        </w:trPr>
        <w:tc>
          <w:tcPr>
            <w:tcW w:w="3895" w:type="dxa"/>
            <w:vAlign w:val="center"/>
            <w:hideMark/>
          </w:tcPr>
          <w:p w14:paraId="3A933FB2" w14:textId="77777777" w:rsidR="00A20F86" w:rsidRPr="00A20F86" w:rsidRDefault="00A20F86" w:rsidP="00A20F86">
            <w:pPr>
              <w:spacing w:after="0" w:line="240" w:lineRule="auto"/>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Schools Block Transfer to HNB (1%)</w:t>
            </w:r>
          </w:p>
        </w:tc>
        <w:tc>
          <w:tcPr>
            <w:tcW w:w="1354" w:type="dxa"/>
            <w:vAlign w:val="center"/>
            <w:hideMark/>
          </w:tcPr>
          <w:p w14:paraId="3DFF630F"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kern w:val="0"/>
                <w:sz w:val="20"/>
                <w:szCs w:val="20"/>
                <w:lang w:eastAsia="en-GB"/>
                <w14:ligatures w14:val="none"/>
              </w:rPr>
              <w:t>(13.1)</w:t>
            </w:r>
          </w:p>
        </w:tc>
        <w:tc>
          <w:tcPr>
            <w:tcW w:w="1354" w:type="dxa"/>
            <w:vAlign w:val="center"/>
            <w:hideMark/>
          </w:tcPr>
          <w:p w14:paraId="098816A9"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kern w:val="0"/>
                <w:sz w:val="20"/>
                <w:szCs w:val="20"/>
                <w:lang w:eastAsia="en-GB"/>
                <w14:ligatures w14:val="none"/>
              </w:rPr>
              <w:t>(13.3)</w:t>
            </w:r>
          </w:p>
        </w:tc>
        <w:tc>
          <w:tcPr>
            <w:tcW w:w="1359" w:type="dxa"/>
            <w:vAlign w:val="center"/>
            <w:hideMark/>
          </w:tcPr>
          <w:p w14:paraId="44DA0D90"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kern w:val="0"/>
                <w:sz w:val="20"/>
                <w:szCs w:val="20"/>
                <w:lang w:eastAsia="en-GB"/>
                <w14:ligatures w14:val="none"/>
              </w:rPr>
              <w:t>(13.3)</w:t>
            </w:r>
          </w:p>
        </w:tc>
      </w:tr>
      <w:tr w:rsidR="00A20F86" w:rsidRPr="00A20F86" w14:paraId="0DA11426" w14:textId="77777777" w:rsidTr="00697A4E">
        <w:trPr>
          <w:trHeight w:val="300"/>
        </w:trPr>
        <w:tc>
          <w:tcPr>
            <w:tcW w:w="3895" w:type="dxa"/>
            <w:vAlign w:val="center"/>
            <w:hideMark/>
          </w:tcPr>
          <w:p w14:paraId="4FE3FE48" w14:textId="77777777" w:rsidR="00A20F86" w:rsidRPr="00A20F86" w:rsidRDefault="00A20F86" w:rsidP="00A20F86">
            <w:pPr>
              <w:spacing w:after="0" w:line="240" w:lineRule="auto"/>
              <w:rPr>
                <w:rFonts w:ascii="Arial" w:eastAsia="Times New Roman" w:hAnsi="Arial" w:cs="Arial"/>
                <w:b/>
                <w:bCs/>
                <w:color w:val="FF0000"/>
                <w:kern w:val="0"/>
                <w:sz w:val="20"/>
                <w:szCs w:val="20"/>
                <w:lang w:eastAsia="en-GB"/>
                <w14:ligatures w14:val="none"/>
              </w:rPr>
            </w:pPr>
            <w:r w:rsidRPr="00A20F86">
              <w:rPr>
                <w:rFonts w:ascii="Arial" w:eastAsia="Times New Roman" w:hAnsi="Arial" w:cs="Arial"/>
                <w:b/>
                <w:bCs/>
                <w:kern w:val="0"/>
                <w:sz w:val="20"/>
                <w:szCs w:val="20"/>
                <w:lang w:eastAsia="en-GB"/>
                <w14:ligatures w14:val="none"/>
              </w:rPr>
              <w:t>(Surplus) /</w:t>
            </w:r>
            <w:r w:rsidRPr="00A20F86">
              <w:rPr>
                <w:rFonts w:ascii="Arial" w:eastAsia="Times New Roman" w:hAnsi="Arial" w:cs="Arial"/>
                <w:b/>
                <w:bCs/>
                <w:color w:val="FF0000"/>
                <w:kern w:val="0"/>
                <w:sz w:val="20"/>
                <w:szCs w:val="20"/>
                <w:lang w:eastAsia="en-GB"/>
                <w14:ligatures w14:val="none"/>
              </w:rPr>
              <w:t xml:space="preserve"> </w:t>
            </w:r>
            <w:r w:rsidRPr="00A20F86">
              <w:rPr>
                <w:rFonts w:ascii="Arial" w:eastAsia="Times New Roman" w:hAnsi="Arial" w:cs="Arial"/>
                <w:b/>
                <w:bCs/>
                <w:kern w:val="0"/>
                <w:sz w:val="20"/>
                <w:szCs w:val="20"/>
                <w:lang w:eastAsia="en-GB"/>
                <w14:ligatures w14:val="none"/>
              </w:rPr>
              <w:t>Deficit: post Block Transfer</w:t>
            </w:r>
          </w:p>
        </w:tc>
        <w:tc>
          <w:tcPr>
            <w:tcW w:w="1354" w:type="dxa"/>
            <w:vAlign w:val="center"/>
            <w:hideMark/>
          </w:tcPr>
          <w:p w14:paraId="789EE38C"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62.6</w:t>
            </w:r>
          </w:p>
        </w:tc>
        <w:tc>
          <w:tcPr>
            <w:tcW w:w="1354" w:type="dxa"/>
            <w:vAlign w:val="center"/>
            <w:hideMark/>
          </w:tcPr>
          <w:p w14:paraId="028C786F"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80.3</w:t>
            </w:r>
          </w:p>
        </w:tc>
        <w:tc>
          <w:tcPr>
            <w:tcW w:w="1359" w:type="dxa"/>
            <w:vAlign w:val="center"/>
            <w:hideMark/>
          </w:tcPr>
          <w:p w14:paraId="61F4F67D"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106.6</w:t>
            </w:r>
          </w:p>
        </w:tc>
      </w:tr>
      <w:tr w:rsidR="00A20F86" w:rsidRPr="00A20F86" w14:paraId="4C05935B" w14:textId="77777777" w:rsidTr="00697A4E">
        <w:trPr>
          <w:trHeight w:val="300"/>
        </w:trPr>
        <w:tc>
          <w:tcPr>
            <w:tcW w:w="3895" w:type="dxa"/>
            <w:vAlign w:val="center"/>
          </w:tcPr>
          <w:p w14:paraId="778EAE26" w14:textId="77777777" w:rsidR="00A20F86" w:rsidRPr="00A20F86" w:rsidRDefault="00A20F86" w:rsidP="00A20F86">
            <w:pPr>
              <w:tabs>
                <w:tab w:val="left" w:pos="940"/>
              </w:tabs>
              <w:spacing w:after="0" w:line="240" w:lineRule="auto"/>
              <w:rPr>
                <w:rFonts w:ascii="Arial" w:eastAsia="Times New Roman" w:hAnsi="Arial" w:cs="Arial"/>
                <w:color w:val="FF0000"/>
                <w:kern w:val="0"/>
                <w:sz w:val="20"/>
                <w:szCs w:val="20"/>
                <w:lang w:eastAsia="en-GB"/>
                <w14:ligatures w14:val="none"/>
              </w:rPr>
            </w:pPr>
            <w:r w:rsidRPr="00A20F86">
              <w:rPr>
                <w:rFonts w:ascii="Arial" w:eastAsia="Times New Roman" w:hAnsi="Arial" w:cs="Arial"/>
                <w:kern w:val="0"/>
                <w:sz w:val="20"/>
                <w:szCs w:val="20"/>
                <w:lang w:eastAsia="en-GB"/>
                <w14:ligatures w14:val="none"/>
              </w:rPr>
              <w:t>Forecast HNSG</w:t>
            </w:r>
          </w:p>
        </w:tc>
        <w:tc>
          <w:tcPr>
            <w:tcW w:w="1354" w:type="dxa"/>
            <w:vAlign w:val="center"/>
          </w:tcPr>
          <w:p w14:paraId="37BBD86C" w14:textId="77777777" w:rsidR="00A20F86" w:rsidRPr="00A20F86" w:rsidRDefault="00A20F86" w:rsidP="00A20F86">
            <w:pPr>
              <w:spacing w:after="0" w:line="240" w:lineRule="auto"/>
              <w:jc w:val="center"/>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(43.8)</w:t>
            </w:r>
          </w:p>
        </w:tc>
        <w:tc>
          <w:tcPr>
            <w:tcW w:w="1354" w:type="dxa"/>
            <w:vAlign w:val="center"/>
          </w:tcPr>
          <w:p w14:paraId="3C6A8160" w14:textId="77777777" w:rsidR="00A20F86" w:rsidRPr="00A20F86" w:rsidRDefault="00A20F86" w:rsidP="00A20F86">
            <w:pPr>
              <w:spacing w:after="0" w:line="240" w:lineRule="auto"/>
              <w:jc w:val="center"/>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(56.2)</w:t>
            </w:r>
          </w:p>
        </w:tc>
        <w:tc>
          <w:tcPr>
            <w:tcW w:w="1359" w:type="dxa"/>
            <w:vAlign w:val="center"/>
          </w:tcPr>
          <w:p w14:paraId="5CF2070E" w14:textId="77777777" w:rsidR="00A20F86" w:rsidRPr="00A20F86" w:rsidRDefault="00A20F86" w:rsidP="00A20F86">
            <w:pPr>
              <w:spacing w:after="0" w:line="240" w:lineRule="auto"/>
              <w:jc w:val="center"/>
              <w:rPr>
                <w:rFonts w:ascii="Arial" w:eastAsia="Times New Roman" w:hAnsi="Arial" w:cs="Arial"/>
                <w:color w:val="FF0000"/>
                <w:kern w:val="0"/>
                <w:sz w:val="20"/>
                <w:szCs w:val="20"/>
                <w:lang w:eastAsia="en-GB"/>
                <w14:ligatures w14:val="none"/>
              </w:rPr>
            </w:pPr>
            <w:r w:rsidRPr="00A20F86">
              <w:rPr>
                <w:rFonts w:ascii="Arial" w:eastAsia="Times New Roman" w:hAnsi="Arial" w:cs="Arial"/>
                <w:kern w:val="0"/>
                <w:sz w:val="20"/>
                <w:szCs w:val="20"/>
                <w:lang w:eastAsia="en-GB"/>
                <w14:ligatures w14:val="none"/>
              </w:rPr>
              <w:t>0</w:t>
            </w:r>
          </w:p>
        </w:tc>
      </w:tr>
      <w:tr w:rsidR="00A20F86" w:rsidRPr="00A20F86" w14:paraId="6D4054A8" w14:textId="77777777" w:rsidTr="00697A4E">
        <w:trPr>
          <w:trHeight w:val="300"/>
        </w:trPr>
        <w:tc>
          <w:tcPr>
            <w:tcW w:w="3895" w:type="dxa"/>
            <w:vAlign w:val="center"/>
            <w:hideMark/>
          </w:tcPr>
          <w:p w14:paraId="0CF2D9C9" w14:textId="77777777" w:rsidR="00A20F86" w:rsidRPr="00A20F86" w:rsidRDefault="00A20F86" w:rsidP="00A20F86">
            <w:pPr>
              <w:spacing w:after="0" w:line="240" w:lineRule="auto"/>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DSG O/balance*</w:t>
            </w:r>
          </w:p>
        </w:tc>
        <w:tc>
          <w:tcPr>
            <w:tcW w:w="1354" w:type="dxa"/>
            <w:vAlign w:val="center"/>
            <w:hideMark/>
          </w:tcPr>
          <w:p w14:paraId="5B99B1AF"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2.5</w:t>
            </w:r>
          </w:p>
        </w:tc>
        <w:tc>
          <w:tcPr>
            <w:tcW w:w="1354" w:type="dxa"/>
            <w:vAlign w:val="center"/>
            <w:hideMark/>
          </w:tcPr>
          <w:p w14:paraId="32427339" w14:textId="77777777" w:rsidR="00A20F86" w:rsidRPr="00A20F86" w:rsidRDefault="00A20F86" w:rsidP="00A20F86">
            <w:pPr>
              <w:spacing w:after="0" w:line="240" w:lineRule="auto"/>
              <w:jc w:val="center"/>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21.3</w:t>
            </w:r>
          </w:p>
        </w:tc>
        <w:tc>
          <w:tcPr>
            <w:tcW w:w="1359" w:type="dxa"/>
            <w:vAlign w:val="center"/>
            <w:hideMark/>
          </w:tcPr>
          <w:p w14:paraId="3A4B13B8" w14:textId="77777777" w:rsidR="00A20F86" w:rsidRPr="00A20F86" w:rsidRDefault="00A20F86" w:rsidP="00A20F86">
            <w:pPr>
              <w:spacing w:after="0" w:line="240" w:lineRule="auto"/>
              <w:jc w:val="center"/>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45.4</w:t>
            </w:r>
          </w:p>
        </w:tc>
      </w:tr>
      <w:tr w:rsidR="00A20F86" w:rsidRPr="00A20F86" w14:paraId="3FCDA801" w14:textId="77777777" w:rsidTr="00697A4E">
        <w:trPr>
          <w:trHeight w:val="300"/>
        </w:trPr>
        <w:tc>
          <w:tcPr>
            <w:tcW w:w="3895" w:type="dxa"/>
            <w:vAlign w:val="center"/>
          </w:tcPr>
          <w:p w14:paraId="57FC9090" w14:textId="77777777" w:rsidR="00A20F86" w:rsidRPr="00A20F86" w:rsidRDefault="00A20F86" w:rsidP="00A20F86">
            <w:pPr>
              <w:spacing w:after="0" w:line="240" w:lineRule="auto"/>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DSG Deficit funded by Government</w:t>
            </w:r>
          </w:p>
        </w:tc>
        <w:tc>
          <w:tcPr>
            <w:tcW w:w="1354" w:type="dxa"/>
            <w:vAlign w:val="center"/>
          </w:tcPr>
          <w:p w14:paraId="0F42D4EF" w14:textId="77777777" w:rsidR="00A20F86" w:rsidRPr="00A20F86" w:rsidRDefault="00A20F86" w:rsidP="00A20F86">
            <w:pPr>
              <w:spacing w:after="0" w:line="240" w:lineRule="auto"/>
              <w:jc w:val="center"/>
              <w:rPr>
                <w:rFonts w:ascii="Arial" w:eastAsia="Times New Roman" w:hAnsi="Arial" w:cs="Arial"/>
                <w:color w:val="000000"/>
                <w:kern w:val="0"/>
                <w:sz w:val="20"/>
                <w:szCs w:val="20"/>
                <w:lang w:eastAsia="en-GB"/>
                <w14:ligatures w14:val="none"/>
              </w:rPr>
            </w:pPr>
            <w:r w:rsidRPr="00A20F86">
              <w:rPr>
                <w:rFonts w:ascii="Arial" w:eastAsia="Times New Roman" w:hAnsi="Arial" w:cs="Arial"/>
                <w:color w:val="000000"/>
                <w:kern w:val="0"/>
                <w:sz w:val="20"/>
                <w:szCs w:val="20"/>
                <w:lang w:eastAsia="en-GB"/>
                <w14:ligatures w14:val="none"/>
              </w:rPr>
              <w:t>n/a</w:t>
            </w:r>
          </w:p>
        </w:tc>
        <w:tc>
          <w:tcPr>
            <w:tcW w:w="1354" w:type="dxa"/>
            <w:vAlign w:val="center"/>
          </w:tcPr>
          <w:p w14:paraId="11EF8887" w14:textId="77777777" w:rsidR="00A20F86" w:rsidRPr="00A20F86" w:rsidRDefault="00A20F86" w:rsidP="00A20F86">
            <w:pPr>
              <w:spacing w:after="0" w:line="240" w:lineRule="auto"/>
              <w:jc w:val="center"/>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n/a</w:t>
            </w:r>
          </w:p>
        </w:tc>
        <w:tc>
          <w:tcPr>
            <w:tcW w:w="1359" w:type="dxa"/>
            <w:vAlign w:val="center"/>
          </w:tcPr>
          <w:p w14:paraId="2D556342" w14:textId="77777777" w:rsidR="00A20F86" w:rsidRPr="00A20F86" w:rsidRDefault="00A20F86" w:rsidP="00A20F86">
            <w:pPr>
              <w:spacing w:after="0" w:line="240" w:lineRule="auto"/>
              <w:jc w:val="center"/>
              <w:rPr>
                <w:rFonts w:ascii="Arial" w:eastAsia="Times New Roman" w:hAnsi="Arial" w:cs="Arial"/>
                <w:kern w:val="0"/>
                <w:sz w:val="20"/>
                <w:szCs w:val="20"/>
                <w:lang w:eastAsia="en-GB"/>
                <w14:ligatures w14:val="none"/>
              </w:rPr>
            </w:pPr>
            <w:r w:rsidRPr="00A20F86">
              <w:rPr>
                <w:rFonts w:ascii="Arial" w:eastAsia="Times New Roman" w:hAnsi="Arial" w:cs="Arial"/>
                <w:kern w:val="0"/>
                <w:sz w:val="20"/>
                <w:szCs w:val="20"/>
                <w:lang w:eastAsia="en-GB"/>
                <w14:ligatures w14:val="none"/>
              </w:rPr>
              <w:t>(106.6)</w:t>
            </w:r>
          </w:p>
        </w:tc>
      </w:tr>
      <w:tr w:rsidR="00A20F86" w:rsidRPr="00A20F86" w14:paraId="1A55257F" w14:textId="77777777" w:rsidTr="00697A4E">
        <w:trPr>
          <w:trHeight w:val="300"/>
        </w:trPr>
        <w:tc>
          <w:tcPr>
            <w:tcW w:w="3895" w:type="dxa"/>
            <w:vAlign w:val="center"/>
            <w:hideMark/>
          </w:tcPr>
          <w:p w14:paraId="4FB2FDB6" w14:textId="77777777" w:rsidR="00A20F86" w:rsidRPr="00A20F86" w:rsidRDefault="00A20F86" w:rsidP="00A20F86">
            <w:pPr>
              <w:spacing w:after="0" w:line="240" w:lineRule="auto"/>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C/balance</w:t>
            </w:r>
          </w:p>
        </w:tc>
        <w:tc>
          <w:tcPr>
            <w:tcW w:w="1354" w:type="dxa"/>
            <w:vAlign w:val="center"/>
            <w:hideMark/>
          </w:tcPr>
          <w:p w14:paraId="20BC16AC"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21.3</w:t>
            </w:r>
          </w:p>
        </w:tc>
        <w:tc>
          <w:tcPr>
            <w:tcW w:w="1354" w:type="dxa"/>
            <w:vAlign w:val="center"/>
            <w:hideMark/>
          </w:tcPr>
          <w:p w14:paraId="6ABE7902"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45.4</w:t>
            </w:r>
          </w:p>
        </w:tc>
        <w:tc>
          <w:tcPr>
            <w:tcW w:w="1359" w:type="dxa"/>
            <w:vAlign w:val="center"/>
            <w:hideMark/>
          </w:tcPr>
          <w:p w14:paraId="2835283B" w14:textId="77777777" w:rsidR="00A20F86" w:rsidRPr="00A20F86" w:rsidRDefault="00A20F86" w:rsidP="00A20F86">
            <w:pPr>
              <w:spacing w:after="0" w:line="240" w:lineRule="auto"/>
              <w:jc w:val="center"/>
              <w:rPr>
                <w:rFonts w:ascii="Arial" w:eastAsia="Times New Roman" w:hAnsi="Arial" w:cs="Arial"/>
                <w:b/>
                <w:bCs/>
                <w:color w:val="000000"/>
                <w:kern w:val="0"/>
                <w:sz w:val="20"/>
                <w:szCs w:val="20"/>
                <w:lang w:eastAsia="en-GB"/>
                <w14:ligatures w14:val="none"/>
              </w:rPr>
            </w:pPr>
            <w:r w:rsidRPr="00A20F86">
              <w:rPr>
                <w:rFonts w:ascii="Arial" w:eastAsia="Times New Roman" w:hAnsi="Arial" w:cs="Arial"/>
                <w:b/>
                <w:bCs/>
                <w:color w:val="000000"/>
                <w:kern w:val="0"/>
                <w:sz w:val="20"/>
                <w:szCs w:val="20"/>
                <w:lang w:eastAsia="en-GB"/>
                <w14:ligatures w14:val="none"/>
              </w:rPr>
              <w:t>45.4</w:t>
            </w:r>
          </w:p>
        </w:tc>
      </w:tr>
    </w:tbl>
    <w:p w14:paraId="4F8C263E" w14:textId="77777777" w:rsidR="00A20F86" w:rsidRPr="00A20F86" w:rsidRDefault="00A20F86" w:rsidP="00A20F86">
      <w:pPr>
        <w:spacing w:after="0" w:line="240" w:lineRule="auto"/>
        <w:ind w:left="567" w:hanging="567"/>
        <w:rPr>
          <w:rFonts w:ascii="Arial" w:eastAsia="Times New Roman" w:hAnsi="Arial" w:cs="Times New Roman"/>
          <w:i/>
          <w:iCs/>
          <w:kern w:val="0"/>
          <w:lang w:eastAsia="en-GB"/>
          <w14:ligatures w14:val="none"/>
        </w:rPr>
      </w:pPr>
      <w:r w:rsidRPr="00A20F86">
        <w:rPr>
          <w:rFonts w:ascii="Arial" w:eastAsia="Times New Roman" w:hAnsi="Arial" w:cs="Times New Roman"/>
          <w:kern w:val="0"/>
          <w:lang w:eastAsia="en-GB"/>
          <w14:ligatures w14:val="none"/>
        </w:rPr>
        <w:tab/>
      </w:r>
      <w:r w:rsidRPr="00A20F86">
        <w:rPr>
          <w:rFonts w:ascii="Arial" w:eastAsia="Times New Roman" w:hAnsi="Arial" w:cs="Times New Roman"/>
          <w:i/>
          <w:iCs/>
          <w:kern w:val="0"/>
          <w:sz w:val="20"/>
          <w:szCs w:val="20"/>
          <w:lang w:eastAsia="en-GB"/>
          <w14:ligatures w14:val="none"/>
        </w:rPr>
        <w:t>*the DSG opening balance for 2026/27 includes the receipt of the 2025/26 HNSG</w:t>
      </w:r>
    </w:p>
    <w:p w14:paraId="4EA3FFB3" w14:textId="77777777" w:rsidR="00A20F86" w:rsidRPr="00A20F86" w:rsidRDefault="00A20F86" w:rsidP="00A20F86">
      <w:pPr>
        <w:spacing w:after="0" w:line="240" w:lineRule="auto"/>
        <w:rPr>
          <w:rFonts w:ascii="Arial" w:eastAsia="Times New Roman" w:hAnsi="Arial" w:cs="Times New Roman"/>
          <w:kern w:val="0"/>
          <w:lang w:eastAsia="en-GB"/>
          <w14:ligatures w14:val="none"/>
        </w:rPr>
      </w:pPr>
    </w:p>
    <w:p w14:paraId="04955471" w14:textId="77777777" w:rsidR="00A20F86" w:rsidRP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7.13</w:t>
      </w:r>
      <w:r w:rsidRPr="00A20F86">
        <w:rPr>
          <w:rFonts w:ascii="Arial" w:eastAsia="Times New Roman" w:hAnsi="Arial" w:cs="Times New Roman"/>
          <w:kern w:val="0"/>
          <w:lang w:eastAsia="en-GB"/>
          <w14:ligatures w14:val="none"/>
        </w:rPr>
        <w:tab/>
        <w:t xml:space="preserve">It is evident from the table that even with government support the Local Authority will be faced with a significant DSG deficit by the end of 2027/28. </w:t>
      </w:r>
    </w:p>
    <w:p w14:paraId="6FD5216E" w14:textId="77777777" w:rsidR="00A20F86" w:rsidRP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p>
    <w:p w14:paraId="5E706382" w14:textId="77777777" w:rsidR="00A20F86" w:rsidRP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7.14</w:t>
      </w:r>
      <w:r w:rsidRPr="00A20F86">
        <w:rPr>
          <w:rFonts w:ascii="Arial" w:eastAsia="Times New Roman" w:hAnsi="Arial" w:cs="Times New Roman"/>
          <w:kern w:val="0"/>
          <w:lang w:eastAsia="en-GB"/>
          <w14:ligatures w14:val="none"/>
        </w:rPr>
        <w:tab/>
        <w:t>The Statutory Override; the treatment of DSG deficits that allows local authorities to hold deficits off the balance sheet is to permanently end on the 31</w:t>
      </w:r>
      <w:r w:rsidRPr="00A20F86">
        <w:rPr>
          <w:rFonts w:ascii="Arial" w:eastAsia="Times New Roman" w:hAnsi="Arial" w:cs="Times New Roman"/>
          <w:kern w:val="0"/>
          <w:vertAlign w:val="superscript"/>
          <w:lang w:eastAsia="en-GB"/>
          <w14:ligatures w14:val="none"/>
        </w:rPr>
        <w:t>st</w:t>
      </w:r>
      <w:r w:rsidRPr="00A20F86">
        <w:rPr>
          <w:rFonts w:ascii="Arial" w:eastAsia="Times New Roman" w:hAnsi="Arial" w:cs="Times New Roman"/>
          <w:kern w:val="0"/>
          <w:lang w:eastAsia="en-GB"/>
          <w14:ligatures w14:val="none"/>
        </w:rPr>
        <w:t xml:space="preserve"> March 2028. It is at this point Local Authorities will need to fund any residual DSG deficit. Current forecasts suggest this will be £45.4m if a 1.0% transfer was approved for 2027/28 and 2028/29 or £44.4m if a 1.2% transfer was approved. However, these are provisional figures and are subject to change.  </w:t>
      </w:r>
      <w:r w:rsidRPr="00A20F86">
        <w:rPr>
          <w:rFonts w:ascii="Arial" w:eastAsia="Times New Roman" w:hAnsi="Arial" w:cs="Times New Roman"/>
          <w:kern w:val="0"/>
          <w:lang w:eastAsia="en-GB"/>
          <w14:ligatures w14:val="none"/>
        </w:rPr>
        <w:tab/>
      </w:r>
    </w:p>
    <w:p w14:paraId="18A65775" w14:textId="77777777" w:rsidR="00A20F86" w:rsidRP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p>
    <w:p w14:paraId="36E06463" w14:textId="2BA7CF9B" w:rsidR="00A20F86" w:rsidRP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7.15 It is to be noted that although the Statutory Override means the Authority does not have to report the DSG deficit within statutory accounts, the cost of the provision is still incurred and has to be funded at a financial cost to the Authority.</w:t>
      </w:r>
      <w:r w:rsidRPr="00A20F86">
        <w:rPr>
          <w:rFonts w:ascii="Arial" w:eastAsia="Times New Roman" w:hAnsi="Arial" w:cs="Times New Roman"/>
          <w:kern w:val="0"/>
          <w:lang w:eastAsia="en-GB"/>
          <w14:ligatures w14:val="none"/>
        </w:rPr>
        <w:br/>
      </w:r>
      <w:r w:rsidRPr="00A20F86">
        <w:rPr>
          <w:rFonts w:ascii="Arial" w:eastAsia="Times New Roman" w:hAnsi="Arial" w:cs="Times New Roman"/>
          <w:kern w:val="0"/>
          <w:lang w:eastAsia="en-GB"/>
          <w14:ligatures w14:val="none"/>
        </w:rPr>
        <w:tab/>
      </w:r>
    </w:p>
    <w:p w14:paraId="5977F93D" w14:textId="77777777" w:rsidR="00A20F86" w:rsidRPr="00A20F86" w:rsidRDefault="00A20F86" w:rsidP="00A20F86">
      <w:pPr>
        <w:tabs>
          <w:tab w:val="left" w:pos="567"/>
        </w:tabs>
        <w:spacing w:after="0" w:line="240" w:lineRule="auto"/>
        <w:ind w:left="567" w:hanging="567"/>
        <w:rPr>
          <w:rFonts w:ascii="Arial" w:eastAsia="Times New Roman" w:hAnsi="Arial" w:cs="Times New Roman"/>
          <w:b/>
          <w:bCs/>
          <w:kern w:val="0"/>
          <w:lang w:eastAsia="en-GB"/>
          <w14:ligatures w14:val="none"/>
        </w:rPr>
      </w:pPr>
      <w:r w:rsidRPr="00A20F86">
        <w:rPr>
          <w:rFonts w:ascii="Arial" w:eastAsia="Times New Roman" w:hAnsi="Arial" w:cs="Times New Roman"/>
          <w:kern w:val="0"/>
          <w:lang w:eastAsia="en-GB"/>
          <w14:ligatures w14:val="none"/>
        </w:rPr>
        <w:tab/>
      </w:r>
      <w:r w:rsidRPr="00A20F86">
        <w:rPr>
          <w:rFonts w:ascii="Arial" w:eastAsia="Times New Roman" w:hAnsi="Arial" w:cs="Times New Roman"/>
          <w:b/>
          <w:bCs/>
          <w:kern w:val="0"/>
          <w:lang w:eastAsia="en-GB"/>
          <w14:ligatures w14:val="none"/>
        </w:rPr>
        <w:t>School Balances</w:t>
      </w:r>
    </w:p>
    <w:p w14:paraId="6AA179BE" w14:textId="77777777" w:rsidR="00A20F86" w:rsidRP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p>
    <w:p w14:paraId="4FC84D08" w14:textId="77777777" w:rsidR="00A20F86" w:rsidRPr="00A20F86" w:rsidRDefault="00A20F86" w:rsidP="00A20F86">
      <w:pPr>
        <w:tabs>
          <w:tab w:val="left" w:pos="567"/>
        </w:tabs>
        <w:spacing w:after="0" w:line="240" w:lineRule="auto"/>
        <w:ind w:left="567" w:hanging="567"/>
        <w:rPr>
          <w:rFonts w:ascii="Arial" w:eastAsia="Times New Roman" w:hAnsi="Arial" w:cs="Times New Roman"/>
          <w:b/>
          <w:bCs/>
          <w:kern w:val="0"/>
          <w:lang w:eastAsia="en-GB"/>
          <w14:ligatures w14:val="none"/>
        </w:rPr>
      </w:pPr>
      <w:r w:rsidRPr="00A20F86">
        <w:rPr>
          <w:rFonts w:ascii="Arial" w:eastAsia="Times New Roman" w:hAnsi="Arial" w:cs="Times New Roman"/>
          <w:kern w:val="0"/>
          <w:lang w:eastAsia="en-GB"/>
          <w14:ligatures w14:val="none"/>
        </w:rPr>
        <w:t>8.1</w:t>
      </w:r>
      <w:r w:rsidRPr="00A20F86">
        <w:rPr>
          <w:rFonts w:ascii="Arial" w:eastAsia="Times New Roman" w:hAnsi="Arial" w:cs="Times New Roman"/>
          <w:kern w:val="0"/>
          <w:lang w:eastAsia="en-GB"/>
          <w14:ligatures w14:val="none"/>
        </w:rPr>
        <w:tab/>
        <w:t xml:space="preserve">Whilst funding in unknown for 2027/28 the last review of school balances is shown in </w:t>
      </w:r>
      <w:r w:rsidRPr="00A20F86">
        <w:rPr>
          <w:rFonts w:ascii="Arial" w:eastAsia="Times New Roman" w:hAnsi="Arial" w:cs="Times New Roman"/>
          <w:b/>
          <w:bCs/>
          <w:kern w:val="0"/>
          <w:lang w:eastAsia="en-GB"/>
          <w14:ligatures w14:val="none"/>
        </w:rPr>
        <w:t>Table 12</w:t>
      </w:r>
    </w:p>
    <w:p w14:paraId="52401208" w14:textId="77777777" w:rsidR="00A20F86" w:rsidRPr="00A20F86" w:rsidRDefault="00A20F86" w:rsidP="00A20F86">
      <w:pPr>
        <w:tabs>
          <w:tab w:val="left" w:pos="567"/>
        </w:tabs>
        <w:spacing w:after="0" w:line="240" w:lineRule="auto"/>
        <w:ind w:left="567" w:hanging="567"/>
        <w:rPr>
          <w:rFonts w:ascii="Arial" w:eastAsia="Times New Roman" w:hAnsi="Arial" w:cs="Times New Roman"/>
          <w:b/>
          <w:bCs/>
          <w:kern w:val="0"/>
          <w:lang w:eastAsia="en-GB"/>
          <w14:ligatures w14:val="none"/>
        </w:rPr>
      </w:pPr>
    </w:p>
    <w:tbl>
      <w:tblPr>
        <w:tblStyle w:val="ListTable3-Accent21"/>
        <w:tblW w:w="0" w:type="auto"/>
        <w:tblLook w:val="04A0" w:firstRow="1" w:lastRow="0" w:firstColumn="1" w:lastColumn="0" w:noHBand="0" w:noVBand="1"/>
      </w:tblPr>
      <w:tblGrid>
        <w:gridCol w:w="1726"/>
        <w:gridCol w:w="1726"/>
        <w:gridCol w:w="1726"/>
        <w:gridCol w:w="1726"/>
        <w:gridCol w:w="1726"/>
      </w:tblGrid>
      <w:tr w:rsidR="00A20F86" w:rsidRPr="00A20F86" w14:paraId="537B80FA" w14:textId="77777777" w:rsidTr="00697A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26" w:type="dxa"/>
            <w:tcBorders>
              <w:right w:val="single" w:sz="4" w:space="0" w:color="E40037"/>
            </w:tcBorders>
            <w:shd w:val="clear" w:color="auto" w:fill="E40037"/>
          </w:tcPr>
          <w:p w14:paraId="7F00ACD8" w14:textId="77777777" w:rsidR="00A20F86" w:rsidRPr="00A20F86" w:rsidRDefault="00A20F86" w:rsidP="00A20F86">
            <w:pPr>
              <w:rPr>
                <w:rFonts w:ascii="Arial" w:hAnsi="Arial"/>
              </w:rPr>
            </w:pPr>
          </w:p>
          <w:p w14:paraId="57F3E8E8" w14:textId="77777777" w:rsidR="00A20F86" w:rsidRPr="00A20F86" w:rsidRDefault="00A20F86" w:rsidP="00A20F86">
            <w:pPr>
              <w:rPr>
                <w:rFonts w:ascii="Arial" w:hAnsi="Arial"/>
              </w:rPr>
            </w:pPr>
          </w:p>
          <w:p w14:paraId="433AF1A9" w14:textId="77777777" w:rsidR="00A20F86" w:rsidRPr="00A20F86" w:rsidRDefault="00A20F86" w:rsidP="00A20F86">
            <w:pPr>
              <w:rPr>
                <w:rFonts w:ascii="Arial" w:hAnsi="Arial"/>
              </w:rPr>
            </w:pPr>
          </w:p>
          <w:p w14:paraId="4755B104" w14:textId="77777777" w:rsidR="00A20F86" w:rsidRPr="00A20F86" w:rsidRDefault="00A20F86" w:rsidP="00A20F86">
            <w:pPr>
              <w:rPr>
                <w:rFonts w:ascii="Arial" w:hAnsi="Arial"/>
              </w:rPr>
            </w:pPr>
          </w:p>
          <w:p w14:paraId="3D74D160" w14:textId="77777777" w:rsidR="00A20F86" w:rsidRPr="00A20F86" w:rsidRDefault="00A20F86" w:rsidP="00A20F86">
            <w:pPr>
              <w:rPr>
                <w:rFonts w:ascii="Arial" w:hAnsi="Arial"/>
              </w:rPr>
            </w:pPr>
            <w:r w:rsidRPr="00A20F86">
              <w:rPr>
                <w:rFonts w:ascii="Arial" w:hAnsi="Arial"/>
              </w:rPr>
              <w:t>Phase</w:t>
            </w:r>
          </w:p>
        </w:tc>
        <w:tc>
          <w:tcPr>
            <w:tcW w:w="1726" w:type="dxa"/>
            <w:tcBorders>
              <w:left w:val="single" w:sz="4" w:space="0" w:color="E40037"/>
              <w:right w:val="single" w:sz="4" w:space="0" w:color="E40037"/>
            </w:tcBorders>
            <w:shd w:val="clear" w:color="auto" w:fill="E40037"/>
          </w:tcPr>
          <w:p w14:paraId="4591316E"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6E2235D4"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3178034C"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6423490F"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No. of Schools</w:t>
            </w:r>
          </w:p>
        </w:tc>
        <w:tc>
          <w:tcPr>
            <w:tcW w:w="1726" w:type="dxa"/>
            <w:tcBorders>
              <w:left w:val="single" w:sz="4" w:space="0" w:color="E40037"/>
              <w:right w:val="single" w:sz="4" w:space="0" w:color="E40037"/>
            </w:tcBorders>
            <w:shd w:val="clear" w:color="auto" w:fill="E40037"/>
          </w:tcPr>
          <w:p w14:paraId="38B6A51C"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Maintained School Balances at 31/03/26</w:t>
            </w:r>
          </w:p>
          <w:p w14:paraId="51E8E2C9"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£000</w:t>
            </w:r>
          </w:p>
        </w:tc>
        <w:tc>
          <w:tcPr>
            <w:tcW w:w="1726" w:type="dxa"/>
            <w:tcBorders>
              <w:left w:val="single" w:sz="4" w:space="0" w:color="E40037"/>
              <w:right w:val="single" w:sz="4" w:space="0" w:color="E40037"/>
            </w:tcBorders>
            <w:shd w:val="clear" w:color="auto" w:fill="E40037"/>
          </w:tcPr>
          <w:p w14:paraId="6E511B06"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3886A57F"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Academy Balances at 31/08/25</w:t>
            </w:r>
          </w:p>
          <w:p w14:paraId="2087DDC5"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£000</w:t>
            </w:r>
          </w:p>
        </w:tc>
        <w:tc>
          <w:tcPr>
            <w:tcW w:w="1726" w:type="dxa"/>
            <w:tcBorders>
              <w:left w:val="single" w:sz="4" w:space="0" w:color="E40037"/>
            </w:tcBorders>
            <w:shd w:val="clear" w:color="auto" w:fill="E40037"/>
          </w:tcPr>
          <w:p w14:paraId="17537FDF"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795D556A"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0CA2C7AF"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Total Balances</w:t>
            </w:r>
          </w:p>
          <w:p w14:paraId="5BD347EF"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£000</w:t>
            </w:r>
          </w:p>
        </w:tc>
      </w:tr>
      <w:tr w:rsidR="00A20F86" w:rsidRPr="00A20F86" w14:paraId="550AFD2B"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Borders>
              <w:left w:val="single" w:sz="4" w:space="0" w:color="E40037"/>
              <w:bottom w:val="single" w:sz="4" w:space="0" w:color="E40037"/>
              <w:right w:val="single" w:sz="4" w:space="0" w:color="E40037"/>
            </w:tcBorders>
          </w:tcPr>
          <w:p w14:paraId="440FD8E7" w14:textId="77777777" w:rsidR="00A20F86" w:rsidRPr="00A20F86" w:rsidRDefault="00A20F86" w:rsidP="00A20F86">
            <w:pPr>
              <w:rPr>
                <w:rFonts w:ascii="Arial" w:hAnsi="Arial"/>
              </w:rPr>
            </w:pPr>
            <w:r w:rsidRPr="00A20F86">
              <w:rPr>
                <w:rFonts w:ascii="Arial" w:hAnsi="Arial"/>
              </w:rPr>
              <w:t>Nursery</w:t>
            </w:r>
          </w:p>
        </w:tc>
        <w:tc>
          <w:tcPr>
            <w:tcW w:w="1726" w:type="dxa"/>
            <w:tcBorders>
              <w:left w:val="single" w:sz="4" w:space="0" w:color="E40037"/>
              <w:bottom w:val="single" w:sz="4" w:space="0" w:color="E40037"/>
              <w:right w:val="single" w:sz="4" w:space="0" w:color="E40037"/>
            </w:tcBorders>
          </w:tcPr>
          <w:p w14:paraId="2F00E6D8" w14:textId="77777777" w:rsidR="00A20F86" w:rsidRPr="00A20F86" w:rsidRDefault="00A20F86" w:rsidP="00A20F86">
            <w:pPr>
              <w:jc w:val="center"/>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2</w:t>
            </w:r>
          </w:p>
        </w:tc>
        <w:tc>
          <w:tcPr>
            <w:tcW w:w="1726" w:type="dxa"/>
            <w:tcBorders>
              <w:left w:val="single" w:sz="4" w:space="0" w:color="E40037"/>
              <w:bottom w:val="single" w:sz="4" w:space="0" w:color="E40037"/>
              <w:right w:val="single" w:sz="4" w:space="0" w:color="E40037"/>
            </w:tcBorders>
          </w:tcPr>
          <w:p w14:paraId="50A4A68A"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554</w:t>
            </w:r>
          </w:p>
        </w:tc>
        <w:tc>
          <w:tcPr>
            <w:tcW w:w="1726" w:type="dxa"/>
            <w:tcBorders>
              <w:left w:val="single" w:sz="4" w:space="0" w:color="E40037"/>
              <w:bottom w:val="single" w:sz="4" w:space="0" w:color="E40037"/>
              <w:right w:val="single" w:sz="4" w:space="0" w:color="E40037"/>
            </w:tcBorders>
          </w:tcPr>
          <w:p w14:paraId="5795CD34"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0</w:t>
            </w:r>
          </w:p>
        </w:tc>
        <w:tc>
          <w:tcPr>
            <w:tcW w:w="1726" w:type="dxa"/>
            <w:tcBorders>
              <w:left w:val="single" w:sz="4" w:space="0" w:color="E40037"/>
              <w:bottom w:val="single" w:sz="4" w:space="0" w:color="E40037"/>
            </w:tcBorders>
          </w:tcPr>
          <w:p w14:paraId="28EE3243"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554</w:t>
            </w:r>
          </w:p>
        </w:tc>
      </w:tr>
      <w:tr w:rsidR="00A20F86" w:rsidRPr="00A20F86" w14:paraId="4632D191" w14:textId="77777777" w:rsidTr="00697A4E">
        <w:tc>
          <w:tcPr>
            <w:cnfStyle w:val="001000000000" w:firstRow="0" w:lastRow="0" w:firstColumn="1" w:lastColumn="0" w:oddVBand="0" w:evenVBand="0" w:oddHBand="0" w:evenHBand="0" w:firstRowFirstColumn="0" w:firstRowLastColumn="0" w:lastRowFirstColumn="0" w:lastRowLastColumn="0"/>
            <w:tcW w:w="1726" w:type="dxa"/>
            <w:tcBorders>
              <w:top w:val="single" w:sz="4" w:space="0" w:color="E40037"/>
              <w:left w:val="single" w:sz="4" w:space="0" w:color="E40037"/>
              <w:bottom w:val="single" w:sz="4" w:space="0" w:color="E40037"/>
              <w:right w:val="single" w:sz="4" w:space="0" w:color="E40037"/>
            </w:tcBorders>
          </w:tcPr>
          <w:p w14:paraId="219F49BE" w14:textId="77777777" w:rsidR="00A20F86" w:rsidRPr="00A20F86" w:rsidRDefault="00A20F86" w:rsidP="00A20F86">
            <w:pPr>
              <w:rPr>
                <w:rFonts w:ascii="Arial" w:hAnsi="Arial"/>
              </w:rPr>
            </w:pPr>
            <w:r w:rsidRPr="00A20F86">
              <w:rPr>
                <w:rFonts w:ascii="Arial" w:hAnsi="Arial"/>
              </w:rPr>
              <w:t>Primary</w:t>
            </w:r>
          </w:p>
        </w:tc>
        <w:tc>
          <w:tcPr>
            <w:tcW w:w="1726" w:type="dxa"/>
            <w:tcBorders>
              <w:top w:val="single" w:sz="4" w:space="0" w:color="E40037"/>
              <w:left w:val="single" w:sz="4" w:space="0" w:color="E40037"/>
              <w:bottom w:val="single" w:sz="4" w:space="0" w:color="E40037"/>
              <w:right w:val="single" w:sz="4" w:space="0" w:color="E40037"/>
            </w:tcBorders>
          </w:tcPr>
          <w:p w14:paraId="76DCBFCF" w14:textId="77777777" w:rsidR="00A20F86" w:rsidRPr="00A20F86" w:rsidRDefault="00A20F86" w:rsidP="00A20F86">
            <w:pPr>
              <w:jc w:val="center"/>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446</w:t>
            </w:r>
          </w:p>
        </w:tc>
        <w:tc>
          <w:tcPr>
            <w:tcW w:w="1726" w:type="dxa"/>
            <w:tcBorders>
              <w:top w:val="single" w:sz="4" w:space="0" w:color="E40037"/>
              <w:left w:val="single" w:sz="4" w:space="0" w:color="E40037"/>
              <w:bottom w:val="single" w:sz="4" w:space="0" w:color="E40037"/>
              <w:right w:val="single" w:sz="4" w:space="0" w:color="E40037"/>
            </w:tcBorders>
          </w:tcPr>
          <w:p w14:paraId="0DB75479"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38,483</w:t>
            </w:r>
          </w:p>
        </w:tc>
        <w:tc>
          <w:tcPr>
            <w:tcW w:w="1726" w:type="dxa"/>
            <w:tcBorders>
              <w:top w:val="single" w:sz="4" w:space="0" w:color="E40037"/>
              <w:left w:val="single" w:sz="4" w:space="0" w:color="E40037"/>
              <w:bottom w:val="single" w:sz="4" w:space="0" w:color="E40037"/>
              <w:right w:val="single" w:sz="4" w:space="0" w:color="E40037"/>
            </w:tcBorders>
          </w:tcPr>
          <w:p w14:paraId="4D306B91"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56,723</w:t>
            </w:r>
          </w:p>
        </w:tc>
        <w:tc>
          <w:tcPr>
            <w:tcW w:w="1726" w:type="dxa"/>
            <w:tcBorders>
              <w:top w:val="single" w:sz="4" w:space="0" w:color="E40037"/>
              <w:left w:val="single" w:sz="4" w:space="0" w:color="E40037"/>
              <w:bottom w:val="single" w:sz="4" w:space="0" w:color="E40037"/>
            </w:tcBorders>
          </w:tcPr>
          <w:p w14:paraId="559B69B3"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95,206</w:t>
            </w:r>
          </w:p>
        </w:tc>
      </w:tr>
      <w:tr w:rsidR="00A20F86" w:rsidRPr="00A20F86" w14:paraId="5550E64E"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Borders>
              <w:top w:val="single" w:sz="4" w:space="0" w:color="E40037"/>
              <w:left w:val="single" w:sz="4" w:space="0" w:color="E40037"/>
              <w:bottom w:val="single" w:sz="4" w:space="0" w:color="E40037"/>
              <w:right w:val="single" w:sz="4" w:space="0" w:color="E40037"/>
            </w:tcBorders>
          </w:tcPr>
          <w:p w14:paraId="269E83D7" w14:textId="77777777" w:rsidR="00A20F86" w:rsidRPr="00A20F86" w:rsidRDefault="00A20F86" w:rsidP="00A20F86">
            <w:pPr>
              <w:rPr>
                <w:rFonts w:ascii="Arial" w:hAnsi="Arial"/>
              </w:rPr>
            </w:pPr>
            <w:r w:rsidRPr="00A20F86">
              <w:rPr>
                <w:rFonts w:ascii="Arial" w:hAnsi="Arial"/>
              </w:rPr>
              <w:t>Secondary</w:t>
            </w:r>
          </w:p>
        </w:tc>
        <w:tc>
          <w:tcPr>
            <w:tcW w:w="1726" w:type="dxa"/>
            <w:tcBorders>
              <w:top w:val="single" w:sz="4" w:space="0" w:color="E40037"/>
              <w:left w:val="single" w:sz="4" w:space="0" w:color="E40037"/>
              <w:bottom w:val="single" w:sz="4" w:space="0" w:color="E40037"/>
              <w:right w:val="single" w:sz="4" w:space="0" w:color="E40037"/>
            </w:tcBorders>
          </w:tcPr>
          <w:p w14:paraId="2A34929E" w14:textId="77777777" w:rsidR="00A20F86" w:rsidRPr="00A20F86" w:rsidRDefault="00A20F86" w:rsidP="00A20F86">
            <w:pPr>
              <w:jc w:val="center"/>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79</w:t>
            </w:r>
          </w:p>
        </w:tc>
        <w:tc>
          <w:tcPr>
            <w:tcW w:w="1726" w:type="dxa"/>
            <w:tcBorders>
              <w:top w:val="single" w:sz="4" w:space="0" w:color="E40037"/>
              <w:left w:val="single" w:sz="4" w:space="0" w:color="E40037"/>
              <w:bottom w:val="single" w:sz="4" w:space="0" w:color="E40037"/>
              <w:right w:val="single" w:sz="4" w:space="0" w:color="E40037"/>
            </w:tcBorders>
          </w:tcPr>
          <w:p w14:paraId="3DE98420"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3,455</w:t>
            </w:r>
          </w:p>
        </w:tc>
        <w:tc>
          <w:tcPr>
            <w:tcW w:w="1726" w:type="dxa"/>
            <w:tcBorders>
              <w:top w:val="single" w:sz="4" w:space="0" w:color="E40037"/>
              <w:left w:val="single" w:sz="4" w:space="0" w:color="E40037"/>
              <w:bottom w:val="single" w:sz="4" w:space="0" w:color="E40037"/>
              <w:right w:val="single" w:sz="4" w:space="0" w:color="E40037"/>
            </w:tcBorders>
          </w:tcPr>
          <w:p w14:paraId="427E9977"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68,255</w:t>
            </w:r>
          </w:p>
        </w:tc>
        <w:tc>
          <w:tcPr>
            <w:tcW w:w="1726" w:type="dxa"/>
            <w:tcBorders>
              <w:top w:val="single" w:sz="4" w:space="0" w:color="E40037"/>
              <w:left w:val="single" w:sz="4" w:space="0" w:color="E40037"/>
              <w:bottom w:val="single" w:sz="4" w:space="0" w:color="E40037"/>
            </w:tcBorders>
          </w:tcPr>
          <w:p w14:paraId="0DD23BE8"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71,710</w:t>
            </w:r>
          </w:p>
        </w:tc>
      </w:tr>
      <w:tr w:rsidR="00A20F86" w:rsidRPr="00A20F86" w14:paraId="311463EB" w14:textId="77777777" w:rsidTr="00697A4E">
        <w:tc>
          <w:tcPr>
            <w:cnfStyle w:val="001000000000" w:firstRow="0" w:lastRow="0" w:firstColumn="1" w:lastColumn="0" w:oddVBand="0" w:evenVBand="0" w:oddHBand="0" w:evenHBand="0" w:firstRowFirstColumn="0" w:firstRowLastColumn="0" w:lastRowFirstColumn="0" w:lastRowLastColumn="0"/>
            <w:tcW w:w="1726" w:type="dxa"/>
            <w:tcBorders>
              <w:top w:val="single" w:sz="4" w:space="0" w:color="E40037"/>
              <w:left w:val="single" w:sz="4" w:space="0" w:color="E40037"/>
              <w:bottom w:val="single" w:sz="4" w:space="0" w:color="E40037"/>
              <w:right w:val="single" w:sz="4" w:space="0" w:color="E40037"/>
            </w:tcBorders>
          </w:tcPr>
          <w:p w14:paraId="1BA032ED" w14:textId="77777777" w:rsidR="00A20F86" w:rsidRPr="00A20F86" w:rsidRDefault="00A20F86" w:rsidP="00A20F86">
            <w:pPr>
              <w:rPr>
                <w:rFonts w:ascii="Arial" w:hAnsi="Arial"/>
              </w:rPr>
            </w:pPr>
            <w:r w:rsidRPr="00A20F86">
              <w:rPr>
                <w:rFonts w:ascii="Arial" w:hAnsi="Arial"/>
              </w:rPr>
              <w:t>All-Through</w:t>
            </w:r>
          </w:p>
        </w:tc>
        <w:tc>
          <w:tcPr>
            <w:tcW w:w="1726" w:type="dxa"/>
            <w:tcBorders>
              <w:top w:val="single" w:sz="4" w:space="0" w:color="E40037"/>
              <w:left w:val="single" w:sz="4" w:space="0" w:color="E40037"/>
              <w:bottom w:val="single" w:sz="4" w:space="0" w:color="E40037"/>
              <w:right w:val="single" w:sz="4" w:space="0" w:color="E40037"/>
            </w:tcBorders>
          </w:tcPr>
          <w:p w14:paraId="6BCE79D9" w14:textId="77777777" w:rsidR="00A20F86" w:rsidRPr="00A20F86" w:rsidRDefault="00A20F86" w:rsidP="00A20F86">
            <w:pPr>
              <w:jc w:val="center"/>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2</w:t>
            </w:r>
          </w:p>
        </w:tc>
        <w:tc>
          <w:tcPr>
            <w:tcW w:w="1726" w:type="dxa"/>
            <w:tcBorders>
              <w:top w:val="single" w:sz="4" w:space="0" w:color="E40037"/>
              <w:left w:val="single" w:sz="4" w:space="0" w:color="E40037"/>
              <w:bottom w:val="single" w:sz="4" w:space="0" w:color="E40037"/>
              <w:right w:val="single" w:sz="4" w:space="0" w:color="E40037"/>
            </w:tcBorders>
          </w:tcPr>
          <w:p w14:paraId="6B256C2C"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0</w:t>
            </w:r>
          </w:p>
        </w:tc>
        <w:tc>
          <w:tcPr>
            <w:tcW w:w="1726" w:type="dxa"/>
            <w:tcBorders>
              <w:top w:val="single" w:sz="4" w:space="0" w:color="E40037"/>
              <w:left w:val="single" w:sz="4" w:space="0" w:color="E40037"/>
              <w:bottom w:val="single" w:sz="4" w:space="0" w:color="E40037"/>
              <w:right w:val="single" w:sz="4" w:space="0" w:color="E40037"/>
            </w:tcBorders>
          </w:tcPr>
          <w:p w14:paraId="15B3B505"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3,095</w:t>
            </w:r>
          </w:p>
        </w:tc>
        <w:tc>
          <w:tcPr>
            <w:tcW w:w="1726" w:type="dxa"/>
            <w:tcBorders>
              <w:top w:val="single" w:sz="4" w:space="0" w:color="E40037"/>
              <w:left w:val="single" w:sz="4" w:space="0" w:color="E40037"/>
              <w:bottom w:val="single" w:sz="4" w:space="0" w:color="E40037"/>
            </w:tcBorders>
          </w:tcPr>
          <w:p w14:paraId="2A343CFC"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3,095</w:t>
            </w:r>
          </w:p>
        </w:tc>
      </w:tr>
      <w:tr w:rsidR="00A20F86" w:rsidRPr="00A20F86" w14:paraId="17F5F7A4"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Borders>
              <w:top w:val="single" w:sz="4" w:space="0" w:color="E40037"/>
              <w:left w:val="single" w:sz="4" w:space="0" w:color="E40037"/>
              <w:bottom w:val="single" w:sz="4" w:space="0" w:color="E40037"/>
              <w:right w:val="single" w:sz="4" w:space="0" w:color="E40037"/>
            </w:tcBorders>
          </w:tcPr>
          <w:p w14:paraId="7649F613" w14:textId="77777777" w:rsidR="00A20F86" w:rsidRPr="00A20F86" w:rsidRDefault="00A20F86" w:rsidP="00A20F86">
            <w:pPr>
              <w:rPr>
                <w:rFonts w:ascii="Arial" w:hAnsi="Arial"/>
              </w:rPr>
            </w:pPr>
            <w:r w:rsidRPr="00A20F86">
              <w:rPr>
                <w:rFonts w:ascii="Arial" w:hAnsi="Arial"/>
              </w:rPr>
              <w:t>Special</w:t>
            </w:r>
          </w:p>
        </w:tc>
        <w:tc>
          <w:tcPr>
            <w:tcW w:w="1726" w:type="dxa"/>
            <w:tcBorders>
              <w:top w:val="single" w:sz="4" w:space="0" w:color="E40037"/>
              <w:left w:val="single" w:sz="4" w:space="0" w:color="E40037"/>
              <w:bottom w:val="single" w:sz="4" w:space="0" w:color="E40037"/>
              <w:right w:val="single" w:sz="4" w:space="0" w:color="E40037"/>
            </w:tcBorders>
          </w:tcPr>
          <w:p w14:paraId="0E723097" w14:textId="77777777" w:rsidR="00A20F86" w:rsidRPr="00A20F86" w:rsidRDefault="00A20F86" w:rsidP="00A20F86">
            <w:pPr>
              <w:jc w:val="center"/>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23</w:t>
            </w:r>
          </w:p>
        </w:tc>
        <w:tc>
          <w:tcPr>
            <w:tcW w:w="1726" w:type="dxa"/>
            <w:tcBorders>
              <w:top w:val="single" w:sz="4" w:space="0" w:color="E40037"/>
              <w:left w:val="single" w:sz="4" w:space="0" w:color="E40037"/>
              <w:bottom w:val="single" w:sz="4" w:space="0" w:color="E40037"/>
              <w:right w:val="single" w:sz="4" w:space="0" w:color="E40037"/>
            </w:tcBorders>
          </w:tcPr>
          <w:p w14:paraId="4DBEC3BB"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1,205</w:t>
            </w:r>
          </w:p>
        </w:tc>
        <w:tc>
          <w:tcPr>
            <w:tcW w:w="1726" w:type="dxa"/>
            <w:tcBorders>
              <w:top w:val="single" w:sz="4" w:space="0" w:color="E40037"/>
              <w:left w:val="single" w:sz="4" w:space="0" w:color="E40037"/>
              <w:bottom w:val="single" w:sz="4" w:space="0" w:color="E40037"/>
              <w:right w:val="single" w:sz="4" w:space="0" w:color="E40037"/>
            </w:tcBorders>
          </w:tcPr>
          <w:p w14:paraId="2A67C396"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12,404</w:t>
            </w:r>
          </w:p>
        </w:tc>
        <w:tc>
          <w:tcPr>
            <w:tcW w:w="1726" w:type="dxa"/>
            <w:tcBorders>
              <w:top w:val="single" w:sz="4" w:space="0" w:color="E40037"/>
              <w:left w:val="single" w:sz="4" w:space="0" w:color="E40037"/>
              <w:bottom w:val="single" w:sz="4" w:space="0" w:color="E40037"/>
            </w:tcBorders>
          </w:tcPr>
          <w:p w14:paraId="69C7257C"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13,608</w:t>
            </w:r>
          </w:p>
        </w:tc>
      </w:tr>
      <w:tr w:rsidR="00A20F86" w:rsidRPr="00A20F86" w14:paraId="665F4660" w14:textId="77777777" w:rsidTr="00697A4E">
        <w:tc>
          <w:tcPr>
            <w:cnfStyle w:val="001000000000" w:firstRow="0" w:lastRow="0" w:firstColumn="1" w:lastColumn="0" w:oddVBand="0" w:evenVBand="0" w:oddHBand="0" w:evenHBand="0" w:firstRowFirstColumn="0" w:firstRowLastColumn="0" w:lastRowFirstColumn="0" w:lastRowLastColumn="0"/>
            <w:tcW w:w="1726" w:type="dxa"/>
            <w:tcBorders>
              <w:top w:val="single" w:sz="4" w:space="0" w:color="E40037"/>
              <w:left w:val="single" w:sz="4" w:space="0" w:color="E40037"/>
              <w:bottom w:val="single" w:sz="4" w:space="0" w:color="E40037"/>
              <w:right w:val="single" w:sz="4" w:space="0" w:color="E40037"/>
            </w:tcBorders>
          </w:tcPr>
          <w:p w14:paraId="522A1024" w14:textId="77777777" w:rsidR="00A20F86" w:rsidRPr="00A20F86" w:rsidRDefault="00A20F86" w:rsidP="00A20F86">
            <w:pPr>
              <w:rPr>
                <w:rFonts w:ascii="Arial" w:hAnsi="Arial"/>
              </w:rPr>
            </w:pPr>
            <w:r w:rsidRPr="00A20F86">
              <w:rPr>
                <w:rFonts w:ascii="Arial" w:hAnsi="Arial"/>
              </w:rPr>
              <w:t>PRU</w:t>
            </w:r>
          </w:p>
        </w:tc>
        <w:tc>
          <w:tcPr>
            <w:tcW w:w="1726" w:type="dxa"/>
            <w:tcBorders>
              <w:top w:val="single" w:sz="4" w:space="0" w:color="E40037"/>
              <w:left w:val="single" w:sz="4" w:space="0" w:color="E40037"/>
              <w:bottom w:val="single" w:sz="4" w:space="0" w:color="E40037"/>
              <w:right w:val="single" w:sz="4" w:space="0" w:color="E40037"/>
            </w:tcBorders>
          </w:tcPr>
          <w:p w14:paraId="32BA0C72" w14:textId="77777777" w:rsidR="00A20F86" w:rsidRPr="00A20F86" w:rsidRDefault="00A20F86" w:rsidP="00A20F86">
            <w:pPr>
              <w:jc w:val="center"/>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6</w:t>
            </w:r>
          </w:p>
        </w:tc>
        <w:tc>
          <w:tcPr>
            <w:tcW w:w="1726" w:type="dxa"/>
            <w:tcBorders>
              <w:top w:val="single" w:sz="4" w:space="0" w:color="E40037"/>
              <w:left w:val="single" w:sz="4" w:space="0" w:color="E40037"/>
              <w:bottom w:val="single" w:sz="4" w:space="0" w:color="E40037"/>
              <w:right w:val="single" w:sz="4" w:space="0" w:color="E40037"/>
            </w:tcBorders>
          </w:tcPr>
          <w:p w14:paraId="267C4350"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2,227</w:t>
            </w:r>
          </w:p>
        </w:tc>
        <w:tc>
          <w:tcPr>
            <w:tcW w:w="1726" w:type="dxa"/>
            <w:tcBorders>
              <w:top w:val="single" w:sz="4" w:space="0" w:color="E40037"/>
              <w:left w:val="single" w:sz="4" w:space="0" w:color="E40037"/>
              <w:bottom w:val="single" w:sz="4" w:space="0" w:color="E40037"/>
              <w:right w:val="single" w:sz="4" w:space="0" w:color="E40037"/>
            </w:tcBorders>
          </w:tcPr>
          <w:p w14:paraId="082F1BFF"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2,213</w:t>
            </w:r>
          </w:p>
        </w:tc>
        <w:tc>
          <w:tcPr>
            <w:tcW w:w="1726" w:type="dxa"/>
            <w:tcBorders>
              <w:top w:val="single" w:sz="4" w:space="0" w:color="E40037"/>
              <w:left w:val="single" w:sz="4" w:space="0" w:color="E40037"/>
              <w:bottom w:val="single" w:sz="4" w:space="0" w:color="E40037"/>
            </w:tcBorders>
          </w:tcPr>
          <w:p w14:paraId="1251C780"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4,440</w:t>
            </w:r>
          </w:p>
        </w:tc>
      </w:tr>
      <w:tr w:rsidR="00A20F86" w:rsidRPr="00A20F86" w14:paraId="004C6AEA"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Borders>
              <w:top w:val="single" w:sz="4" w:space="0" w:color="E40037"/>
              <w:left w:val="single" w:sz="4" w:space="0" w:color="E40037"/>
              <w:bottom w:val="single" w:sz="4" w:space="0" w:color="E40037"/>
              <w:right w:val="single" w:sz="4" w:space="0" w:color="E40037"/>
            </w:tcBorders>
          </w:tcPr>
          <w:p w14:paraId="701BB8A6" w14:textId="77777777" w:rsidR="00A20F86" w:rsidRPr="00A20F86" w:rsidRDefault="00A20F86" w:rsidP="00A20F86">
            <w:pPr>
              <w:rPr>
                <w:rFonts w:ascii="Arial" w:hAnsi="Arial"/>
              </w:rPr>
            </w:pPr>
            <w:r w:rsidRPr="00A20F86">
              <w:rPr>
                <w:rFonts w:ascii="Arial" w:hAnsi="Arial"/>
              </w:rPr>
              <w:t>Total</w:t>
            </w:r>
          </w:p>
        </w:tc>
        <w:tc>
          <w:tcPr>
            <w:tcW w:w="1726" w:type="dxa"/>
            <w:tcBorders>
              <w:top w:val="single" w:sz="4" w:space="0" w:color="E40037"/>
              <w:left w:val="single" w:sz="4" w:space="0" w:color="E40037"/>
              <w:bottom w:val="single" w:sz="4" w:space="0" w:color="E40037"/>
              <w:right w:val="single" w:sz="4" w:space="0" w:color="E40037"/>
            </w:tcBorders>
          </w:tcPr>
          <w:p w14:paraId="7287A818" w14:textId="77777777" w:rsidR="00A20F86" w:rsidRPr="00A20F86" w:rsidRDefault="00A20F86" w:rsidP="00A20F86">
            <w:pPr>
              <w:jc w:val="center"/>
              <w:cnfStyle w:val="000000100000" w:firstRow="0" w:lastRow="0" w:firstColumn="0" w:lastColumn="0" w:oddVBand="0" w:evenVBand="0" w:oddHBand="1" w:evenHBand="0" w:firstRowFirstColumn="0" w:firstRowLastColumn="0" w:lastRowFirstColumn="0" w:lastRowLastColumn="0"/>
              <w:rPr>
                <w:rFonts w:ascii="Arial" w:hAnsi="Arial"/>
                <w:b/>
                <w:bCs/>
              </w:rPr>
            </w:pPr>
            <w:r w:rsidRPr="00A20F86">
              <w:rPr>
                <w:rFonts w:ascii="Arial" w:hAnsi="Arial"/>
                <w:b/>
                <w:bCs/>
              </w:rPr>
              <w:t>556</w:t>
            </w:r>
          </w:p>
        </w:tc>
        <w:tc>
          <w:tcPr>
            <w:tcW w:w="1726" w:type="dxa"/>
            <w:tcBorders>
              <w:top w:val="single" w:sz="4" w:space="0" w:color="E40037"/>
              <w:left w:val="single" w:sz="4" w:space="0" w:color="E40037"/>
              <w:bottom w:val="single" w:sz="4" w:space="0" w:color="E40037"/>
              <w:right w:val="single" w:sz="4" w:space="0" w:color="E40037"/>
            </w:tcBorders>
          </w:tcPr>
          <w:p w14:paraId="5948A138"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b/>
                <w:bCs/>
              </w:rPr>
            </w:pPr>
            <w:r w:rsidRPr="00A20F86">
              <w:rPr>
                <w:rFonts w:ascii="Arial" w:hAnsi="Arial"/>
                <w:b/>
                <w:bCs/>
              </w:rPr>
              <w:t>45,923</w:t>
            </w:r>
          </w:p>
        </w:tc>
        <w:tc>
          <w:tcPr>
            <w:tcW w:w="1726" w:type="dxa"/>
            <w:tcBorders>
              <w:top w:val="single" w:sz="4" w:space="0" w:color="E40037"/>
              <w:left w:val="single" w:sz="4" w:space="0" w:color="E40037"/>
              <w:bottom w:val="single" w:sz="4" w:space="0" w:color="E40037"/>
              <w:right w:val="single" w:sz="4" w:space="0" w:color="E40037"/>
            </w:tcBorders>
          </w:tcPr>
          <w:p w14:paraId="525DCEF7"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b/>
                <w:bCs/>
              </w:rPr>
            </w:pPr>
            <w:r w:rsidRPr="00A20F86">
              <w:rPr>
                <w:rFonts w:ascii="Arial" w:hAnsi="Arial"/>
                <w:b/>
                <w:bCs/>
              </w:rPr>
              <w:t>142,690</w:t>
            </w:r>
          </w:p>
        </w:tc>
        <w:tc>
          <w:tcPr>
            <w:tcW w:w="1726" w:type="dxa"/>
            <w:tcBorders>
              <w:top w:val="single" w:sz="4" w:space="0" w:color="E40037"/>
              <w:left w:val="single" w:sz="4" w:space="0" w:color="E40037"/>
              <w:bottom w:val="single" w:sz="4" w:space="0" w:color="E40037"/>
            </w:tcBorders>
          </w:tcPr>
          <w:p w14:paraId="73D9A99A"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b/>
                <w:bCs/>
              </w:rPr>
            </w:pPr>
            <w:r w:rsidRPr="00A20F86">
              <w:rPr>
                <w:rFonts w:ascii="Arial" w:hAnsi="Arial"/>
                <w:b/>
                <w:bCs/>
              </w:rPr>
              <w:t>188,613</w:t>
            </w:r>
          </w:p>
        </w:tc>
      </w:tr>
    </w:tbl>
    <w:p w14:paraId="0EAE5120" w14:textId="77777777" w:rsidR="00A20F86" w:rsidRPr="00A20F86" w:rsidRDefault="00A20F86" w:rsidP="00A20F86">
      <w:pPr>
        <w:tabs>
          <w:tab w:val="left" w:pos="567"/>
        </w:tabs>
        <w:spacing w:after="0" w:line="240" w:lineRule="auto"/>
        <w:ind w:left="567" w:hanging="567"/>
        <w:rPr>
          <w:rFonts w:ascii="Arial" w:eastAsia="Times New Roman" w:hAnsi="Arial" w:cs="Times New Roman"/>
          <w:b/>
          <w:bCs/>
          <w:kern w:val="0"/>
          <w:lang w:eastAsia="en-GB"/>
          <w14:ligatures w14:val="none"/>
        </w:rPr>
      </w:pPr>
    </w:p>
    <w:p w14:paraId="6AFA0E29" w14:textId="77777777" w:rsid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p>
    <w:p w14:paraId="506B025B" w14:textId="5FD434CA" w:rsidR="00A20F86" w:rsidRP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lastRenderedPageBreak/>
        <w:t>8.2</w:t>
      </w:r>
      <w:r w:rsidRPr="00A20F86">
        <w:rPr>
          <w:rFonts w:ascii="Arial" w:eastAsia="Times New Roman" w:hAnsi="Arial" w:cs="Times New Roman"/>
          <w:kern w:val="0"/>
          <w:lang w:eastAsia="en-GB"/>
          <w14:ligatures w14:val="none"/>
        </w:rPr>
        <w:tab/>
      </w:r>
      <w:r w:rsidRPr="00A20F86">
        <w:rPr>
          <w:rFonts w:ascii="Arial" w:eastAsia="Times New Roman" w:hAnsi="Arial" w:cs="Times New Roman"/>
          <w:b/>
          <w:bCs/>
          <w:kern w:val="0"/>
          <w:lang w:eastAsia="en-GB"/>
          <w14:ligatures w14:val="none"/>
        </w:rPr>
        <w:t>Table 13</w:t>
      </w:r>
      <w:r w:rsidRPr="00A20F86">
        <w:rPr>
          <w:rFonts w:ascii="Arial" w:eastAsia="Times New Roman" w:hAnsi="Arial" w:cs="Times New Roman"/>
          <w:kern w:val="0"/>
          <w:lang w:eastAsia="en-GB"/>
          <w14:ligatures w14:val="none"/>
        </w:rPr>
        <w:t xml:space="preserve"> shows the number of maintained schools in surplus or deficit, and for the schools in surplus, how many are above the DfE recommended level of balances.</w:t>
      </w:r>
    </w:p>
    <w:p w14:paraId="34463B13" w14:textId="77777777" w:rsidR="00A20F86" w:rsidRP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p>
    <w:tbl>
      <w:tblPr>
        <w:tblStyle w:val="ListTable3-Accent21"/>
        <w:tblW w:w="0" w:type="auto"/>
        <w:tblLook w:val="04A0" w:firstRow="1" w:lastRow="0" w:firstColumn="1" w:lastColumn="0" w:noHBand="0" w:noVBand="1"/>
      </w:tblPr>
      <w:tblGrid>
        <w:gridCol w:w="2157"/>
        <w:gridCol w:w="2157"/>
        <w:gridCol w:w="2158"/>
        <w:gridCol w:w="2158"/>
      </w:tblGrid>
      <w:tr w:rsidR="00A20F86" w:rsidRPr="00A20F86" w14:paraId="7D7A5187" w14:textId="77777777" w:rsidTr="00697A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57" w:type="dxa"/>
            <w:tcBorders>
              <w:right w:val="single" w:sz="4" w:space="0" w:color="E40037"/>
            </w:tcBorders>
            <w:shd w:val="clear" w:color="auto" w:fill="E40037"/>
          </w:tcPr>
          <w:p w14:paraId="0555280A" w14:textId="77777777" w:rsidR="00A20F86" w:rsidRPr="00A20F86" w:rsidRDefault="00A20F86" w:rsidP="00A20F86">
            <w:pPr>
              <w:rPr>
                <w:rFonts w:ascii="Arial" w:hAnsi="Arial"/>
              </w:rPr>
            </w:pPr>
          </w:p>
          <w:p w14:paraId="2EEDBCD5" w14:textId="77777777" w:rsidR="00A20F86" w:rsidRPr="00A20F86" w:rsidRDefault="00A20F86" w:rsidP="00A20F86">
            <w:pPr>
              <w:rPr>
                <w:rFonts w:ascii="Arial" w:hAnsi="Arial"/>
              </w:rPr>
            </w:pPr>
            <w:r w:rsidRPr="00A20F86">
              <w:rPr>
                <w:rFonts w:ascii="Arial" w:hAnsi="Arial"/>
              </w:rPr>
              <w:t>Phase</w:t>
            </w:r>
          </w:p>
        </w:tc>
        <w:tc>
          <w:tcPr>
            <w:tcW w:w="2157" w:type="dxa"/>
            <w:tcBorders>
              <w:left w:val="single" w:sz="4" w:space="0" w:color="E40037"/>
              <w:right w:val="single" w:sz="4" w:space="0" w:color="E40037"/>
            </w:tcBorders>
            <w:shd w:val="clear" w:color="auto" w:fill="E40037"/>
          </w:tcPr>
          <w:p w14:paraId="71720FDE"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3FD7A558"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Surplus</w:t>
            </w:r>
          </w:p>
        </w:tc>
        <w:tc>
          <w:tcPr>
            <w:tcW w:w="2158" w:type="dxa"/>
            <w:tcBorders>
              <w:left w:val="single" w:sz="4" w:space="0" w:color="E40037"/>
              <w:right w:val="single" w:sz="4" w:space="0" w:color="E40037"/>
            </w:tcBorders>
            <w:shd w:val="clear" w:color="auto" w:fill="E40037"/>
          </w:tcPr>
          <w:p w14:paraId="4EEEF7CF"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40A5AE0B"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Deficit</w:t>
            </w:r>
          </w:p>
        </w:tc>
        <w:tc>
          <w:tcPr>
            <w:tcW w:w="2158" w:type="dxa"/>
            <w:tcBorders>
              <w:left w:val="single" w:sz="4" w:space="0" w:color="E40037"/>
            </w:tcBorders>
            <w:shd w:val="clear" w:color="auto" w:fill="E40037"/>
          </w:tcPr>
          <w:p w14:paraId="2F12C0C7"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Surplus above DfE Threshold</w:t>
            </w:r>
          </w:p>
        </w:tc>
      </w:tr>
      <w:tr w:rsidR="00A20F86" w:rsidRPr="00A20F86" w14:paraId="2DB490E6"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Borders>
              <w:left w:val="single" w:sz="4" w:space="0" w:color="E40037"/>
              <w:bottom w:val="single" w:sz="4" w:space="0" w:color="E40037"/>
              <w:right w:val="single" w:sz="4" w:space="0" w:color="E40037"/>
            </w:tcBorders>
          </w:tcPr>
          <w:p w14:paraId="5896B3EF" w14:textId="77777777" w:rsidR="00A20F86" w:rsidRPr="00A20F86" w:rsidRDefault="00A20F86" w:rsidP="00A20F86">
            <w:pPr>
              <w:rPr>
                <w:rFonts w:ascii="Arial" w:hAnsi="Arial"/>
              </w:rPr>
            </w:pPr>
            <w:r w:rsidRPr="00A20F86">
              <w:rPr>
                <w:rFonts w:ascii="Arial" w:hAnsi="Arial"/>
              </w:rPr>
              <w:t>Nursery</w:t>
            </w:r>
          </w:p>
        </w:tc>
        <w:tc>
          <w:tcPr>
            <w:tcW w:w="2157" w:type="dxa"/>
            <w:tcBorders>
              <w:left w:val="single" w:sz="4" w:space="0" w:color="E40037"/>
              <w:bottom w:val="single" w:sz="4" w:space="0" w:color="E40037"/>
              <w:right w:val="single" w:sz="4" w:space="0" w:color="E40037"/>
            </w:tcBorders>
          </w:tcPr>
          <w:p w14:paraId="2881B676"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2</w:t>
            </w:r>
          </w:p>
        </w:tc>
        <w:tc>
          <w:tcPr>
            <w:tcW w:w="2158" w:type="dxa"/>
            <w:tcBorders>
              <w:left w:val="single" w:sz="4" w:space="0" w:color="E40037"/>
              <w:bottom w:val="single" w:sz="4" w:space="0" w:color="E40037"/>
              <w:right w:val="single" w:sz="4" w:space="0" w:color="E40037"/>
            </w:tcBorders>
          </w:tcPr>
          <w:p w14:paraId="13419028"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0</w:t>
            </w:r>
          </w:p>
        </w:tc>
        <w:tc>
          <w:tcPr>
            <w:tcW w:w="2158" w:type="dxa"/>
            <w:tcBorders>
              <w:left w:val="single" w:sz="4" w:space="0" w:color="E40037"/>
              <w:bottom w:val="single" w:sz="4" w:space="0" w:color="E40037"/>
              <w:right w:val="single" w:sz="4" w:space="0" w:color="E40037"/>
            </w:tcBorders>
          </w:tcPr>
          <w:p w14:paraId="5544065A"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2</w:t>
            </w:r>
          </w:p>
        </w:tc>
      </w:tr>
      <w:tr w:rsidR="00A20F86" w:rsidRPr="00A20F86" w14:paraId="4A48DBB2" w14:textId="77777777" w:rsidTr="00697A4E">
        <w:tc>
          <w:tcPr>
            <w:cnfStyle w:val="001000000000" w:firstRow="0" w:lastRow="0" w:firstColumn="1" w:lastColumn="0" w:oddVBand="0" w:evenVBand="0" w:oddHBand="0" w:evenHBand="0" w:firstRowFirstColumn="0" w:firstRowLastColumn="0" w:lastRowFirstColumn="0" w:lastRowLastColumn="0"/>
            <w:tcW w:w="2157" w:type="dxa"/>
            <w:tcBorders>
              <w:top w:val="single" w:sz="4" w:space="0" w:color="E40037"/>
              <w:left w:val="single" w:sz="4" w:space="0" w:color="E40037"/>
              <w:bottom w:val="single" w:sz="4" w:space="0" w:color="E40037"/>
              <w:right w:val="single" w:sz="4" w:space="0" w:color="E40037"/>
            </w:tcBorders>
          </w:tcPr>
          <w:p w14:paraId="0327981B" w14:textId="77777777" w:rsidR="00A20F86" w:rsidRPr="00A20F86" w:rsidRDefault="00A20F86" w:rsidP="00A20F86">
            <w:pPr>
              <w:rPr>
                <w:rFonts w:ascii="Arial" w:hAnsi="Arial"/>
              </w:rPr>
            </w:pPr>
            <w:r w:rsidRPr="00A20F86">
              <w:rPr>
                <w:rFonts w:ascii="Arial" w:hAnsi="Arial"/>
              </w:rPr>
              <w:t>Primary</w:t>
            </w:r>
          </w:p>
        </w:tc>
        <w:tc>
          <w:tcPr>
            <w:tcW w:w="2157" w:type="dxa"/>
            <w:tcBorders>
              <w:top w:val="single" w:sz="4" w:space="0" w:color="E40037"/>
              <w:left w:val="single" w:sz="4" w:space="0" w:color="E40037"/>
              <w:bottom w:val="single" w:sz="4" w:space="0" w:color="E40037"/>
              <w:right w:val="single" w:sz="4" w:space="0" w:color="E40037"/>
            </w:tcBorders>
          </w:tcPr>
          <w:p w14:paraId="21030167"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180</w:t>
            </w:r>
          </w:p>
        </w:tc>
        <w:tc>
          <w:tcPr>
            <w:tcW w:w="2158" w:type="dxa"/>
            <w:tcBorders>
              <w:top w:val="single" w:sz="4" w:space="0" w:color="E40037"/>
              <w:left w:val="single" w:sz="4" w:space="0" w:color="E40037"/>
              <w:bottom w:val="single" w:sz="4" w:space="0" w:color="E40037"/>
              <w:right w:val="single" w:sz="4" w:space="0" w:color="E40037"/>
            </w:tcBorders>
          </w:tcPr>
          <w:p w14:paraId="0B598BBD"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5</w:t>
            </w:r>
          </w:p>
        </w:tc>
        <w:tc>
          <w:tcPr>
            <w:tcW w:w="2158" w:type="dxa"/>
            <w:tcBorders>
              <w:top w:val="single" w:sz="4" w:space="0" w:color="E40037"/>
              <w:left w:val="single" w:sz="4" w:space="0" w:color="E40037"/>
              <w:bottom w:val="single" w:sz="4" w:space="0" w:color="E40037"/>
              <w:right w:val="single" w:sz="4" w:space="0" w:color="E40037"/>
            </w:tcBorders>
          </w:tcPr>
          <w:p w14:paraId="05528870"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125</w:t>
            </w:r>
          </w:p>
        </w:tc>
      </w:tr>
      <w:tr w:rsidR="00A20F86" w:rsidRPr="00A20F86" w14:paraId="73CE7F75"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Borders>
              <w:top w:val="single" w:sz="4" w:space="0" w:color="E40037"/>
              <w:left w:val="single" w:sz="4" w:space="0" w:color="E40037"/>
              <w:bottom w:val="single" w:sz="4" w:space="0" w:color="E40037"/>
              <w:right w:val="single" w:sz="4" w:space="0" w:color="E40037"/>
            </w:tcBorders>
          </w:tcPr>
          <w:p w14:paraId="68211F8B" w14:textId="77777777" w:rsidR="00A20F86" w:rsidRPr="00A20F86" w:rsidRDefault="00A20F86" w:rsidP="00A20F86">
            <w:pPr>
              <w:rPr>
                <w:rFonts w:ascii="Arial" w:hAnsi="Arial"/>
              </w:rPr>
            </w:pPr>
            <w:r w:rsidRPr="00A20F86">
              <w:rPr>
                <w:rFonts w:ascii="Arial" w:hAnsi="Arial"/>
              </w:rPr>
              <w:t>Secondary</w:t>
            </w:r>
          </w:p>
        </w:tc>
        <w:tc>
          <w:tcPr>
            <w:tcW w:w="2157" w:type="dxa"/>
            <w:tcBorders>
              <w:top w:val="single" w:sz="4" w:space="0" w:color="E40037"/>
              <w:left w:val="single" w:sz="4" w:space="0" w:color="E40037"/>
              <w:bottom w:val="single" w:sz="4" w:space="0" w:color="E40037"/>
              <w:right w:val="single" w:sz="4" w:space="0" w:color="E40037"/>
            </w:tcBorders>
          </w:tcPr>
          <w:p w14:paraId="59C3F634"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4</w:t>
            </w:r>
          </w:p>
        </w:tc>
        <w:tc>
          <w:tcPr>
            <w:tcW w:w="2158" w:type="dxa"/>
            <w:tcBorders>
              <w:top w:val="single" w:sz="4" w:space="0" w:color="E40037"/>
              <w:left w:val="single" w:sz="4" w:space="0" w:color="E40037"/>
              <w:bottom w:val="single" w:sz="4" w:space="0" w:color="E40037"/>
              <w:right w:val="single" w:sz="4" w:space="0" w:color="E40037"/>
            </w:tcBorders>
          </w:tcPr>
          <w:p w14:paraId="4DC91982"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0</w:t>
            </w:r>
          </w:p>
        </w:tc>
        <w:tc>
          <w:tcPr>
            <w:tcW w:w="2158" w:type="dxa"/>
            <w:tcBorders>
              <w:top w:val="single" w:sz="4" w:space="0" w:color="E40037"/>
              <w:left w:val="single" w:sz="4" w:space="0" w:color="E40037"/>
              <w:bottom w:val="single" w:sz="4" w:space="0" w:color="E40037"/>
              <w:right w:val="single" w:sz="4" w:space="0" w:color="E40037"/>
            </w:tcBorders>
          </w:tcPr>
          <w:p w14:paraId="36E46A4B"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3</w:t>
            </w:r>
          </w:p>
        </w:tc>
      </w:tr>
      <w:tr w:rsidR="00A20F86" w:rsidRPr="00A20F86" w14:paraId="3662745F" w14:textId="77777777" w:rsidTr="00697A4E">
        <w:tc>
          <w:tcPr>
            <w:cnfStyle w:val="001000000000" w:firstRow="0" w:lastRow="0" w:firstColumn="1" w:lastColumn="0" w:oddVBand="0" w:evenVBand="0" w:oddHBand="0" w:evenHBand="0" w:firstRowFirstColumn="0" w:firstRowLastColumn="0" w:lastRowFirstColumn="0" w:lastRowLastColumn="0"/>
            <w:tcW w:w="2157" w:type="dxa"/>
            <w:tcBorders>
              <w:top w:val="single" w:sz="4" w:space="0" w:color="E40037"/>
              <w:left w:val="single" w:sz="4" w:space="0" w:color="E40037"/>
              <w:bottom w:val="single" w:sz="4" w:space="0" w:color="E40037"/>
              <w:right w:val="single" w:sz="4" w:space="0" w:color="E40037"/>
            </w:tcBorders>
          </w:tcPr>
          <w:p w14:paraId="53FC9EE5" w14:textId="77777777" w:rsidR="00A20F86" w:rsidRPr="00A20F86" w:rsidRDefault="00A20F86" w:rsidP="00A20F86">
            <w:pPr>
              <w:rPr>
                <w:rFonts w:ascii="Arial" w:hAnsi="Arial"/>
              </w:rPr>
            </w:pPr>
            <w:r w:rsidRPr="00A20F86">
              <w:rPr>
                <w:rFonts w:ascii="Arial" w:hAnsi="Arial"/>
              </w:rPr>
              <w:t>Special</w:t>
            </w:r>
          </w:p>
        </w:tc>
        <w:tc>
          <w:tcPr>
            <w:tcW w:w="2157" w:type="dxa"/>
            <w:tcBorders>
              <w:top w:val="single" w:sz="4" w:space="0" w:color="E40037"/>
              <w:left w:val="single" w:sz="4" w:space="0" w:color="E40037"/>
              <w:bottom w:val="single" w:sz="4" w:space="0" w:color="E40037"/>
              <w:right w:val="single" w:sz="4" w:space="0" w:color="E40037"/>
            </w:tcBorders>
          </w:tcPr>
          <w:p w14:paraId="1D68868B"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4</w:t>
            </w:r>
          </w:p>
        </w:tc>
        <w:tc>
          <w:tcPr>
            <w:tcW w:w="2158" w:type="dxa"/>
            <w:tcBorders>
              <w:top w:val="single" w:sz="4" w:space="0" w:color="E40037"/>
              <w:left w:val="single" w:sz="4" w:space="0" w:color="E40037"/>
              <w:bottom w:val="single" w:sz="4" w:space="0" w:color="E40037"/>
              <w:right w:val="single" w:sz="4" w:space="0" w:color="E40037"/>
            </w:tcBorders>
          </w:tcPr>
          <w:p w14:paraId="4DFE43AF"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1</w:t>
            </w:r>
          </w:p>
        </w:tc>
        <w:tc>
          <w:tcPr>
            <w:tcW w:w="2158" w:type="dxa"/>
            <w:tcBorders>
              <w:top w:val="single" w:sz="4" w:space="0" w:color="E40037"/>
              <w:left w:val="single" w:sz="4" w:space="0" w:color="E40037"/>
              <w:bottom w:val="single" w:sz="4" w:space="0" w:color="E40037"/>
              <w:right w:val="single" w:sz="4" w:space="0" w:color="E40037"/>
            </w:tcBorders>
          </w:tcPr>
          <w:p w14:paraId="2E776B77"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2</w:t>
            </w:r>
          </w:p>
        </w:tc>
      </w:tr>
      <w:tr w:rsidR="00A20F86" w:rsidRPr="00A20F86" w14:paraId="14B3E28B"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Borders>
              <w:top w:val="single" w:sz="4" w:space="0" w:color="E40037"/>
              <w:left w:val="single" w:sz="4" w:space="0" w:color="E40037"/>
              <w:bottom w:val="single" w:sz="4" w:space="0" w:color="E40037"/>
              <w:right w:val="single" w:sz="4" w:space="0" w:color="E40037"/>
            </w:tcBorders>
          </w:tcPr>
          <w:p w14:paraId="7A172691" w14:textId="77777777" w:rsidR="00A20F86" w:rsidRPr="00A20F86" w:rsidRDefault="00A20F86" w:rsidP="00A20F86">
            <w:pPr>
              <w:rPr>
                <w:rFonts w:ascii="Arial" w:hAnsi="Arial"/>
              </w:rPr>
            </w:pPr>
            <w:r w:rsidRPr="00A20F86">
              <w:rPr>
                <w:rFonts w:ascii="Arial" w:hAnsi="Arial"/>
              </w:rPr>
              <w:t>PRU</w:t>
            </w:r>
          </w:p>
        </w:tc>
        <w:tc>
          <w:tcPr>
            <w:tcW w:w="2157" w:type="dxa"/>
            <w:tcBorders>
              <w:top w:val="single" w:sz="4" w:space="0" w:color="E40037"/>
              <w:left w:val="single" w:sz="4" w:space="0" w:color="E40037"/>
              <w:bottom w:val="single" w:sz="4" w:space="0" w:color="E40037"/>
              <w:right w:val="single" w:sz="4" w:space="0" w:color="E40037"/>
            </w:tcBorders>
          </w:tcPr>
          <w:p w14:paraId="652F8282"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3</w:t>
            </w:r>
          </w:p>
        </w:tc>
        <w:tc>
          <w:tcPr>
            <w:tcW w:w="2158" w:type="dxa"/>
            <w:tcBorders>
              <w:top w:val="single" w:sz="4" w:space="0" w:color="E40037"/>
              <w:left w:val="single" w:sz="4" w:space="0" w:color="E40037"/>
              <w:bottom w:val="single" w:sz="4" w:space="0" w:color="E40037"/>
              <w:right w:val="single" w:sz="4" w:space="0" w:color="E40037"/>
            </w:tcBorders>
          </w:tcPr>
          <w:p w14:paraId="6AAE9C8D"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0</w:t>
            </w:r>
          </w:p>
        </w:tc>
        <w:tc>
          <w:tcPr>
            <w:tcW w:w="2158" w:type="dxa"/>
            <w:tcBorders>
              <w:top w:val="single" w:sz="4" w:space="0" w:color="E40037"/>
              <w:left w:val="single" w:sz="4" w:space="0" w:color="E40037"/>
              <w:bottom w:val="single" w:sz="4" w:space="0" w:color="E40037"/>
              <w:right w:val="single" w:sz="4" w:space="0" w:color="E40037"/>
            </w:tcBorders>
          </w:tcPr>
          <w:p w14:paraId="47B8B992"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3</w:t>
            </w:r>
          </w:p>
        </w:tc>
      </w:tr>
      <w:tr w:rsidR="00A20F86" w:rsidRPr="00A20F86" w14:paraId="00EDBEF7" w14:textId="77777777" w:rsidTr="00697A4E">
        <w:tc>
          <w:tcPr>
            <w:cnfStyle w:val="001000000000" w:firstRow="0" w:lastRow="0" w:firstColumn="1" w:lastColumn="0" w:oddVBand="0" w:evenVBand="0" w:oddHBand="0" w:evenHBand="0" w:firstRowFirstColumn="0" w:firstRowLastColumn="0" w:lastRowFirstColumn="0" w:lastRowLastColumn="0"/>
            <w:tcW w:w="2157" w:type="dxa"/>
            <w:tcBorders>
              <w:top w:val="single" w:sz="4" w:space="0" w:color="E40037"/>
              <w:left w:val="single" w:sz="4" w:space="0" w:color="E40037"/>
              <w:bottom w:val="single" w:sz="4" w:space="0" w:color="E40037"/>
              <w:right w:val="single" w:sz="4" w:space="0" w:color="E40037"/>
            </w:tcBorders>
          </w:tcPr>
          <w:p w14:paraId="5406B36E" w14:textId="77777777" w:rsidR="00A20F86" w:rsidRPr="00A20F86" w:rsidRDefault="00A20F86" w:rsidP="00A20F86">
            <w:pPr>
              <w:rPr>
                <w:rFonts w:ascii="Arial" w:hAnsi="Arial"/>
              </w:rPr>
            </w:pPr>
            <w:r w:rsidRPr="00A20F86">
              <w:rPr>
                <w:rFonts w:ascii="Arial" w:hAnsi="Arial"/>
              </w:rPr>
              <w:t>Total</w:t>
            </w:r>
          </w:p>
        </w:tc>
        <w:tc>
          <w:tcPr>
            <w:tcW w:w="2157" w:type="dxa"/>
            <w:tcBorders>
              <w:top w:val="single" w:sz="4" w:space="0" w:color="E40037"/>
              <w:left w:val="single" w:sz="4" w:space="0" w:color="E40037"/>
              <w:bottom w:val="single" w:sz="4" w:space="0" w:color="E40037"/>
              <w:right w:val="single" w:sz="4" w:space="0" w:color="E40037"/>
            </w:tcBorders>
          </w:tcPr>
          <w:p w14:paraId="201E6100"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b/>
                <w:bCs/>
              </w:rPr>
            </w:pPr>
            <w:r w:rsidRPr="00A20F86">
              <w:rPr>
                <w:rFonts w:ascii="Arial" w:hAnsi="Arial"/>
                <w:b/>
                <w:bCs/>
              </w:rPr>
              <w:t>193</w:t>
            </w:r>
          </w:p>
        </w:tc>
        <w:tc>
          <w:tcPr>
            <w:tcW w:w="2158" w:type="dxa"/>
            <w:tcBorders>
              <w:top w:val="single" w:sz="4" w:space="0" w:color="E40037"/>
              <w:left w:val="single" w:sz="4" w:space="0" w:color="E40037"/>
              <w:bottom w:val="single" w:sz="4" w:space="0" w:color="E40037"/>
              <w:right w:val="single" w:sz="4" w:space="0" w:color="E40037"/>
            </w:tcBorders>
          </w:tcPr>
          <w:p w14:paraId="487BEEE7"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b/>
                <w:bCs/>
              </w:rPr>
            </w:pPr>
            <w:r w:rsidRPr="00A20F86">
              <w:rPr>
                <w:rFonts w:ascii="Arial" w:hAnsi="Arial"/>
                <w:b/>
                <w:bCs/>
              </w:rPr>
              <w:t>6</w:t>
            </w:r>
          </w:p>
        </w:tc>
        <w:tc>
          <w:tcPr>
            <w:tcW w:w="2158" w:type="dxa"/>
            <w:tcBorders>
              <w:top w:val="single" w:sz="4" w:space="0" w:color="E40037"/>
              <w:left w:val="single" w:sz="4" w:space="0" w:color="E40037"/>
              <w:bottom w:val="single" w:sz="4" w:space="0" w:color="E40037"/>
              <w:right w:val="single" w:sz="4" w:space="0" w:color="E40037"/>
            </w:tcBorders>
          </w:tcPr>
          <w:p w14:paraId="5588ECB5"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b/>
                <w:bCs/>
              </w:rPr>
            </w:pPr>
            <w:r w:rsidRPr="00A20F86">
              <w:rPr>
                <w:rFonts w:ascii="Arial" w:hAnsi="Arial"/>
                <w:b/>
                <w:bCs/>
              </w:rPr>
              <w:t>135</w:t>
            </w:r>
          </w:p>
        </w:tc>
      </w:tr>
    </w:tbl>
    <w:p w14:paraId="3BC3A9BA" w14:textId="77777777" w:rsidR="00A20F86" w:rsidRP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p>
    <w:p w14:paraId="5C530D8D"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8.3</w:t>
      </w:r>
      <w:r w:rsidRPr="00A20F86">
        <w:rPr>
          <w:rFonts w:ascii="Arial" w:eastAsia="Times New Roman" w:hAnsi="Arial" w:cs="Times New Roman"/>
          <w:kern w:val="0"/>
          <w:lang w:eastAsia="en-GB"/>
          <w14:ligatures w14:val="none"/>
        </w:rPr>
        <w:tab/>
      </w:r>
      <w:r w:rsidRPr="00A20F86">
        <w:rPr>
          <w:rFonts w:ascii="Arial" w:eastAsia="Times New Roman" w:hAnsi="Arial" w:cs="Times New Roman"/>
          <w:b/>
          <w:bCs/>
          <w:kern w:val="0"/>
          <w:lang w:eastAsia="en-GB"/>
          <w14:ligatures w14:val="none"/>
        </w:rPr>
        <w:t xml:space="preserve">Table 14 </w:t>
      </w:r>
      <w:r w:rsidRPr="00A20F86">
        <w:rPr>
          <w:rFonts w:ascii="Arial" w:eastAsia="Times New Roman" w:hAnsi="Arial" w:cs="Times New Roman"/>
          <w:kern w:val="0"/>
          <w:lang w:eastAsia="en-GB"/>
          <w14:ligatures w14:val="none"/>
        </w:rPr>
        <w:t>shows for academies the number of schools in surplus and deficit. For the schools in surplus, it is also shown the number of schools above the DfE thresholds.</w:t>
      </w:r>
      <w:r w:rsidRPr="00A20F86">
        <w:rPr>
          <w:rFonts w:ascii="Arial" w:eastAsia="Times New Roman" w:hAnsi="Arial" w:cs="Times New Roman"/>
          <w:kern w:val="0"/>
          <w:lang w:eastAsia="en-GB"/>
          <w14:ligatures w14:val="none"/>
        </w:rPr>
        <w:br/>
      </w:r>
    </w:p>
    <w:tbl>
      <w:tblPr>
        <w:tblStyle w:val="ListTable3-Accent21"/>
        <w:tblW w:w="0" w:type="auto"/>
        <w:tblLook w:val="04A0" w:firstRow="1" w:lastRow="0" w:firstColumn="1" w:lastColumn="0" w:noHBand="0" w:noVBand="1"/>
      </w:tblPr>
      <w:tblGrid>
        <w:gridCol w:w="1726"/>
        <w:gridCol w:w="1726"/>
        <w:gridCol w:w="1726"/>
        <w:gridCol w:w="1726"/>
        <w:gridCol w:w="1726"/>
      </w:tblGrid>
      <w:tr w:rsidR="00A20F86" w:rsidRPr="00A20F86" w14:paraId="4448C89E" w14:textId="77777777" w:rsidTr="00697A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26" w:type="dxa"/>
            <w:tcBorders>
              <w:right w:val="single" w:sz="4" w:space="0" w:color="E40037"/>
            </w:tcBorders>
            <w:shd w:val="clear" w:color="auto" w:fill="E40037"/>
          </w:tcPr>
          <w:p w14:paraId="793BBC60" w14:textId="77777777" w:rsidR="00A20F86" w:rsidRPr="00A20F86" w:rsidRDefault="00A20F86" w:rsidP="00A20F86">
            <w:pPr>
              <w:rPr>
                <w:rFonts w:ascii="Arial" w:hAnsi="Arial"/>
              </w:rPr>
            </w:pPr>
          </w:p>
          <w:p w14:paraId="03B6AD22" w14:textId="77777777" w:rsidR="00A20F86" w:rsidRPr="00A20F86" w:rsidRDefault="00A20F86" w:rsidP="00A20F86">
            <w:pPr>
              <w:rPr>
                <w:rFonts w:ascii="Arial" w:hAnsi="Arial"/>
              </w:rPr>
            </w:pPr>
          </w:p>
          <w:p w14:paraId="121CA761" w14:textId="77777777" w:rsidR="00A20F86" w:rsidRPr="00A20F86" w:rsidRDefault="00A20F86" w:rsidP="00A20F86">
            <w:pPr>
              <w:rPr>
                <w:rFonts w:ascii="Arial" w:hAnsi="Arial"/>
              </w:rPr>
            </w:pPr>
          </w:p>
          <w:p w14:paraId="704DE64A" w14:textId="77777777" w:rsidR="00A20F86" w:rsidRPr="00A20F86" w:rsidRDefault="00A20F86" w:rsidP="00A20F86">
            <w:pPr>
              <w:rPr>
                <w:rFonts w:ascii="Arial" w:hAnsi="Arial"/>
              </w:rPr>
            </w:pPr>
            <w:r w:rsidRPr="00A20F86">
              <w:rPr>
                <w:rFonts w:ascii="Arial" w:hAnsi="Arial"/>
              </w:rPr>
              <w:t>Phase</w:t>
            </w:r>
          </w:p>
        </w:tc>
        <w:tc>
          <w:tcPr>
            <w:tcW w:w="1726" w:type="dxa"/>
            <w:tcBorders>
              <w:left w:val="single" w:sz="4" w:space="0" w:color="E40037"/>
              <w:right w:val="single" w:sz="4" w:space="0" w:color="E40037"/>
            </w:tcBorders>
            <w:shd w:val="clear" w:color="auto" w:fill="E40037"/>
          </w:tcPr>
          <w:p w14:paraId="77888B9B"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4C60BAB6"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35E7A645"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12E269DB"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Surplus</w:t>
            </w:r>
          </w:p>
        </w:tc>
        <w:tc>
          <w:tcPr>
            <w:tcW w:w="1726" w:type="dxa"/>
            <w:tcBorders>
              <w:left w:val="single" w:sz="4" w:space="0" w:color="E40037"/>
              <w:right w:val="single" w:sz="4" w:space="0" w:color="E40037"/>
            </w:tcBorders>
            <w:shd w:val="clear" w:color="auto" w:fill="E40037"/>
          </w:tcPr>
          <w:p w14:paraId="1303A04C"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0D293DC2"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New Academies / Pooled</w:t>
            </w:r>
          </w:p>
        </w:tc>
        <w:tc>
          <w:tcPr>
            <w:tcW w:w="1726" w:type="dxa"/>
            <w:tcBorders>
              <w:left w:val="single" w:sz="4" w:space="0" w:color="E40037"/>
              <w:right w:val="single" w:sz="4" w:space="0" w:color="E40037"/>
            </w:tcBorders>
            <w:shd w:val="clear" w:color="auto" w:fill="E40037"/>
          </w:tcPr>
          <w:p w14:paraId="0232ED28"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76C0DB6A"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5FAE6114"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3FCF1881"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Deficit</w:t>
            </w:r>
          </w:p>
        </w:tc>
        <w:tc>
          <w:tcPr>
            <w:tcW w:w="1726" w:type="dxa"/>
            <w:tcBorders>
              <w:left w:val="single" w:sz="4" w:space="0" w:color="E40037"/>
            </w:tcBorders>
            <w:shd w:val="clear" w:color="auto" w:fill="E40037"/>
          </w:tcPr>
          <w:p w14:paraId="06EBD759"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p>
          <w:p w14:paraId="20B11394" w14:textId="77777777" w:rsidR="00A20F86" w:rsidRPr="00A20F86" w:rsidRDefault="00A20F86" w:rsidP="00A20F86">
            <w:pPr>
              <w:jc w:val="center"/>
              <w:cnfStyle w:val="100000000000" w:firstRow="1" w:lastRow="0" w:firstColumn="0" w:lastColumn="0" w:oddVBand="0" w:evenVBand="0" w:oddHBand="0" w:evenHBand="0" w:firstRowFirstColumn="0" w:firstRowLastColumn="0" w:lastRowFirstColumn="0" w:lastRowLastColumn="0"/>
              <w:rPr>
                <w:rFonts w:ascii="Arial" w:hAnsi="Arial"/>
              </w:rPr>
            </w:pPr>
            <w:r w:rsidRPr="00A20F86">
              <w:rPr>
                <w:rFonts w:ascii="Arial" w:hAnsi="Arial"/>
              </w:rPr>
              <w:t>Surplus above DfE Threshold</w:t>
            </w:r>
          </w:p>
        </w:tc>
      </w:tr>
      <w:tr w:rsidR="00A20F86" w:rsidRPr="00A20F86" w14:paraId="3F8520F7"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Borders>
              <w:left w:val="single" w:sz="4" w:space="0" w:color="E40037"/>
              <w:bottom w:val="single" w:sz="4" w:space="0" w:color="E40037"/>
              <w:right w:val="single" w:sz="4" w:space="0" w:color="E40037"/>
            </w:tcBorders>
          </w:tcPr>
          <w:p w14:paraId="3745238D" w14:textId="77777777" w:rsidR="00A20F86" w:rsidRPr="00A20F86" w:rsidRDefault="00A20F86" w:rsidP="00A20F86">
            <w:pPr>
              <w:rPr>
                <w:rFonts w:ascii="Arial" w:hAnsi="Arial"/>
              </w:rPr>
            </w:pPr>
            <w:r w:rsidRPr="00A20F86">
              <w:rPr>
                <w:rFonts w:ascii="Arial" w:hAnsi="Arial"/>
              </w:rPr>
              <w:t>Primary</w:t>
            </w:r>
          </w:p>
        </w:tc>
        <w:tc>
          <w:tcPr>
            <w:tcW w:w="1726" w:type="dxa"/>
            <w:tcBorders>
              <w:left w:val="single" w:sz="4" w:space="0" w:color="E40037"/>
              <w:bottom w:val="single" w:sz="4" w:space="0" w:color="E40037"/>
              <w:right w:val="single" w:sz="4" w:space="0" w:color="E40037"/>
            </w:tcBorders>
          </w:tcPr>
          <w:p w14:paraId="72719D01"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128</w:t>
            </w:r>
          </w:p>
        </w:tc>
        <w:tc>
          <w:tcPr>
            <w:tcW w:w="1726" w:type="dxa"/>
            <w:tcBorders>
              <w:left w:val="single" w:sz="4" w:space="0" w:color="E40037"/>
              <w:bottom w:val="single" w:sz="4" w:space="0" w:color="E40037"/>
              <w:right w:val="single" w:sz="4" w:space="0" w:color="E40037"/>
            </w:tcBorders>
          </w:tcPr>
          <w:p w14:paraId="0BA125D4"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111</w:t>
            </w:r>
          </w:p>
        </w:tc>
        <w:tc>
          <w:tcPr>
            <w:tcW w:w="1726" w:type="dxa"/>
            <w:tcBorders>
              <w:left w:val="single" w:sz="4" w:space="0" w:color="E40037"/>
              <w:bottom w:val="single" w:sz="4" w:space="0" w:color="E40037"/>
              <w:right w:val="single" w:sz="4" w:space="0" w:color="E40037"/>
            </w:tcBorders>
          </w:tcPr>
          <w:p w14:paraId="4034F03C"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20</w:t>
            </w:r>
          </w:p>
        </w:tc>
        <w:tc>
          <w:tcPr>
            <w:tcW w:w="1726" w:type="dxa"/>
            <w:tcBorders>
              <w:left w:val="single" w:sz="4" w:space="0" w:color="E40037"/>
              <w:bottom w:val="single" w:sz="4" w:space="0" w:color="E40037"/>
              <w:right w:val="single" w:sz="4" w:space="0" w:color="E40037"/>
            </w:tcBorders>
          </w:tcPr>
          <w:p w14:paraId="49F10CCE"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92</w:t>
            </w:r>
          </w:p>
        </w:tc>
      </w:tr>
      <w:tr w:rsidR="00A20F86" w:rsidRPr="00A20F86" w14:paraId="771706AC" w14:textId="77777777" w:rsidTr="00697A4E">
        <w:tc>
          <w:tcPr>
            <w:cnfStyle w:val="001000000000" w:firstRow="0" w:lastRow="0" w:firstColumn="1" w:lastColumn="0" w:oddVBand="0" w:evenVBand="0" w:oddHBand="0" w:evenHBand="0" w:firstRowFirstColumn="0" w:firstRowLastColumn="0" w:lastRowFirstColumn="0" w:lastRowLastColumn="0"/>
            <w:tcW w:w="1726" w:type="dxa"/>
            <w:tcBorders>
              <w:top w:val="single" w:sz="4" w:space="0" w:color="E40037"/>
              <w:left w:val="single" w:sz="4" w:space="0" w:color="E40037"/>
              <w:bottom w:val="single" w:sz="4" w:space="0" w:color="E40037"/>
              <w:right w:val="single" w:sz="4" w:space="0" w:color="E40037"/>
            </w:tcBorders>
          </w:tcPr>
          <w:p w14:paraId="714E6D4F" w14:textId="77777777" w:rsidR="00A20F86" w:rsidRPr="00A20F86" w:rsidRDefault="00A20F86" w:rsidP="00A20F86">
            <w:pPr>
              <w:rPr>
                <w:rFonts w:ascii="Arial" w:hAnsi="Arial"/>
              </w:rPr>
            </w:pPr>
            <w:r w:rsidRPr="00A20F86">
              <w:rPr>
                <w:rFonts w:ascii="Arial" w:hAnsi="Arial"/>
              </w:rPr>
              <w:t>Secondary</w:t>
            </w:r>
          </w:p>
        </w:tc>
        <w:tc>
          <w:tcPr>
            <w:tcW w:w="1726" w:type="dxa"/>
            <w:tcBorders>
              <w:top w:val="single" w:sz="4" w:space="0" w:color="E40037"/>
              <w:left w:val="single" w:sz="4" w:space="0" w:color="E40037"/>
              <w:bottom w:val="single" w:sz="4" w:space="0" w:color="E40037"/>
              <w:right w:val="single" w:sz="4" w:space="0" w:color="E40037"/>
            </w:tcBorders>
          </w:tcPr>
          <w:p w14:paraId="68C457C6"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43</w:t>
            </w:r>
          </w:p>
        </w:tc>
        <w:tc>
          <w:tcPr>
            <w:tcW w:w="1726" w:type="dxa"/>
            <w:tcBorders>
              <w:top w:val="single" w:sz="4" w:space="0" w:color="E40037"/>
              <w:left w:val="single" w:sz="4" w:space="0" w:color="E40037"/>
              <w:bottom w:val="single" w:sz="4" w:space="0" w:color="E40037"/>
              <w:right w:val="single" w:sz="4" w:space="0" w:color="E40037"/>
            </w:tcBorders>
          </w:tcPr>
          <w:p w14:paraId="4F682C4F"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30</w:t>
            </w:r>
          </w:p>
        </w:tc>
        <w:tc>
          <w:tcPr>
            <w:tcW w:w="1726" w:type="dxa"/>
            <w:tcBorders>
              <w:top w:val="single" w:sz="4" w:space="0" w:color="E40037"/>
              <w:left w:val="single" w:sz="4" w:space="0" w:color="E40037"/>
              <w:bottom w:val="single" w:sz="4" w:space="0" w:color="E40037"/>
              <w:right w:val="single" w:sz="4" w:space="0" w:color="E40037"/>
            </w:tcBorders>
          </w:tcPr>
          <w:p w14:paraId="6A78A352"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2</w:t>
            </w:r>
          </w:p>
        </w:tc>
        <w:tc>
          <w:tcPr>
            <w:tcW w:w="1726" w:type="dxa"/>
            <w:tcBorders>
              <w:top w:val="single" w:sz="4" w:space="0" w:color="E40037"/>
              <w:left w:val="single" w:sz="4" w:space="0" w:color="E40037"/>
              <w:bottom w:val="single" w:sz="4" w:space="0" w:color="E40037"/>
              <w:right w:val="single" w:sz="4" w:space="0" w:color="E40037"/>
            </w:tcBorders>
          </w:tcPr>
          <w:p w14:paraId="311E6BB7"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38</w:t>
            </w:r>
          </w:p>
        </w:tc>
      </w:tr>
      <w:tr w:rsidR="00A20F86" w:rsidRPr="00A20F86" w14:paraId="397C2573"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Borders>
              <w:top w:val="single" w:sz="4" w:space="0" w:color="E40037"/>
              <w:left w:val="single" w:sz="4" w:space="0" w:color="E40037"/>
              <w:bottom w:val="single" w:sz="4" w:space="0" w:color="E40037"/>
              <w:right w:val="single" w:sz="4" w:space="0" w:color="E40037"/>
            </w:tcBorders>
          </w:tcPr>
          <w:p w14:paraId="4967E15B" w14:textId="77777777" w:rsidR="00A20F86" w:rsidRPr="00A20F86" w:rsidRDefault="00A20F86" w:rsidP="00A20F86">
            <w:pPr>
              <w:rPr>
                <w:rFonts w:ascii="Arial" w:hAnsi="Arial"/>
              </w:rPr>
            </w:pPr>
            <w:r w:rsidRPr="00A20F86">
              <w:rPr>
                <w:rFonts w:ascii="Arial" w:hAnsi="Arial"/>
              </w:rPr>
              <w:t>All-Through</w:t>
            </w:r>
          </w:p>
        </w:tc>
        <w:tc>
          <w:tcPr>
            <w:tcW w:w="1726" w:type="dxa"/>
            <w:tcBorders>
              <w:top w:val="single" w:sz="4" w:space="0" w:color="E40037"/>
              <w:left w:val="single" w:sz="4" w:space="0" w:color="E40037"/>
              <w:bottom w:val="single" w:sz="4" w:space="0" w:color="E40037"/>
              <w:right w:val="single" w:sz="4" w:space="0" w:color="E40037"/>
            </w:tcBorders>
          </w:tcPr>
          <w:p w14:paraId="313D370D"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0</w:t>
            </w:r>
          </w:p>
        </w:tc>
        <w:tc>
          <w:tcPr>
            <w:tcW w:w="1726" w:type="dxa"/>
            <w:tcBorders>
              <w:top w:val="single" w:sz="4" w:space="0" w:color="E40037"/>
              <w:left w:val="single" w:sz="4" w:space="0" w:color="E40037"/>
              <w:bottom w:val="single" w:sz="4" w:space="0" w:color="E40037"/>
              <w:right w:val="single" w:sz="4" w:space="0" w:color="E40037"/>
            </w:tcBorders>
          </w:tcPr>
          <w:p w14:paraId="1475C325"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2</w:t>
            </w:r>
          </w:p>
        </w:tc>
        <w:tc>
          <w:tcPr>
            <w:tcW w:w="1726" w:type="dxa"/>
            <w:tcBorders>
              <w:top w:val="single" w:sz="4" w:space="0" w:color="E40037"/>
              <w:left w:val="single" w:sz="4" w:space="0" w:color="E40037"/>
              <w:bottom w:val="single" w:sz="4" w:space="0" w:color="E40037"/>
              <w:right w:val="single" w:sz="4" w:space="0" w:color="E40037"/>
            </w:tcBorders>
          </w:tcPr>
          <w:p w14:paraId="04CC189E"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0</w:t>
            </w:r>
          </w:p>
        </w:tc>
        <w:tc>
          <w:tcPr>
            <w:tcW w:w="1726" w:type="dxa"/>
            <w:tcBorders>
              <w:top w:val="single" w:sz="4" w:space="0" w:color="E40037"/>
              <w:left w:val="single" w:sz="4" w:space="0" w:color="E40037"/>
              <w:bottom w:val="single" w:sz="4" w:space="0" w:color="E40037"/>
              <w:right w:val="single" w:sz="4" w:space="0" w:color="E40037"/>
            </w:tcBorders>
          </w:tcPr>
          <w:p w14:paraId="24D92564"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0</w:t>
            </w:r>
          </w:p>
        </w:tc>
      </w:tr>
      <w:tr w:rsidR="00A20F86" w:rsidRPr="00A20F86" w14:paraId="25A905E3" w14:textId="77777777" w:rsidTr="00697A4E">
        <w:tc>
          <w:tcPr>
            <w:cnfStyle w:val="001000000000" w:firstRow="0" w:lastRow="0" w:firstColumn="1" w:lastColumn="0" w:oddVBand="0" w:evenVBand="0" w:oddHBand="0" w:evenHBand="0" w:firstRowFirstColumn="0" w:firstRowLastColumn="0" w:lastRowFirstColumn="0" w:lastRowLastColumn="0"/>
            <w:tcW w:w="1726" w:type="dxa"/>
            <w:tcBorders>
              <w:top w:val="single" w:sz="4" w:space="0" w:color="E40037"/>
              <w:left w:val="single" w:sz="4" w:space="0" w:color="E40037"/>
              <w:bottom w:val="single" w:sz="4" w:space="0" w:color="E40037"/>
              <w:right w:val="single" w:sz="4" w:space="0" w:color="E40037"/>
            </w:tcBorders>
          </w:tcPr>
          <w:p w14:paraId="6AB5887D" w14:textId="77777777" w:rsidR="00A20F86" w:rsidRPr="00A20F86" w:rsidRDefault="00A20F86" w:rsidP="00A20F86">
            <w:pPr>
              <w:rPr>
                <w:rFonts w:ascii="Arial" w:hAnsi="Arial"/>
              </w:rPr>
            </w:pPr>
            <w:r w:rsidRPr="00A20F86">
              <w:rPr>
                <w:rFonts w:ascii="Arial" w:hAnsi="Arial"/>
              </w:rPr>
              <w:t>Special</w:t>
            </w:r>
          </w:p>
        </w:tc>
        <w:tc>
          <w:tcPr>
            <w:tcW w:w="1726" w:type="dxa"/>
            <w:tcBorders>
              <w:top w:val="single" w:sz="4" w:space="0" w:color="E40037"/>
              <w:left w:val="single" w:sz="4" w:space="0" w:color="E40037"/>
              <w:bottom w:val="single" w:sz="4" w:space="0" w:color="E40037"/>
              <w:right w:val="single" w:sz="4" w:space="0" w:color="E40037"/>
            </w:tcBorders>
          </w:tcPr>
          <w:p w14:paraId="514209D6"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11</w:t>
            </w:r>
          </w:p>
        </w:tc>
        <w:tc>
          <w:tcPr>
            <w:tcW w:w="1726" w:type="dxa"/>
            <w:tcBorders>
              <w:top w:val="single" w:sz="4" w:space="0" w:color="E40037"/>
              <w:left w:val="single" w:sz="4" w:space="0" w:color="E40037"/>
              <w:bottom w:val="single" w:sz="4" w:space="0" w:color="E40037"/>
              <w:right w:val="single" w:sz="4" w:space="0" w:color="E40037"/>
            </w:tcBorders>
          </w:tcPr>
          <w:p w14:paraId="6D803C31"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5</w:t>
            </w:r>
          </w:p>
        </w:tc>
        <w:tc>
          <w:tcPr>
            <w:tcW w:w="1726" w:type="dxa"/>
            <w:tcBorders>
              <w:top w:val="single" w:sz="4" w:space="0" w:color="E40037"/>
              <w:left w:val="single" w:sz="4" w:space="0" w:color="E40037"/>
              <w:bottom w:val="single" w:sz="4" w:space="0" w:color="E40037"/>
              <w:right w:val="single" w:sz="4" w:space="0" w:color="E40037"/>
            </w:tcBorders>
          </w:tcPr>
          <w:p w14:paraId="6B9221C1"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2</w:t>
            </w:r>
          </w:p>
        </w:tc>
        <w:tc>
          <w:tcPr>
            <w:tcW w:w="1726" w:type="dxa"/>
            <w:tcBorders>
              <w:top w:val="single" w:sz="4" w:space="0" w:color="E40037"/>
              <w:left w:val="single" w:sz="4" w:space="0" w:color="E40037"/>
              <w:bottom w:val="single" w:sz="4" w:space="0" w:color="E40037"/>
              <w:right w:val="single" w:sz="4" w:space="0" w:color="E40037"/>
            </w:tcBorders>
          </w:tcPr>
          <w:p w14:paraId="6025CFFD"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rPr>
            </w:pPr>
            <w:r w:rsidRPr="00A20F86">
              <w:rPr>
                <w:rFonts w:ascii="Arial" w:hAnsi="Arial"/>
              </w:rPr>
              <w:t>8</w:t>
            </w:r>
          </w:p>
        </w:tc>
      </w:tr>
      <w:tr w:rsidR="00A20F86" w:rsidRPr="00A20F86" w14:paraId="7561387D"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Borders>
              <w:top w:val="single" w:sz="4" w:space="0" w:color="E40037"/>
              <w:left w:val="single" w:sz="4" w:space="0" w:color="E40037"/>
              <w:bottom w:val="single" w:sz="4" w:space="0" w:color="E40037"/>
              <w:right w:val="single" w:sz="4" w:space="0" w:color="E40037"/>
            </w:tcBorders>
          </w:tcPr>
          <w:p w14:paraId="60539B4C" w14:textId="77777777" w:rsidR="00A20F86" w:rsidRPr="00A20F86" w:rsidRDefault="00A20F86" w:rsidP="00A20F86">
            <w:pPr>
              <w:rPr>
                <w:rFonts w:ascii="Arial" w:hAnsi="Arial"/>
              </w:rPr>
            </w:pPr>
            <w:r w:rsidRPr="00A20F86">
              <w:rPr>
                <w:rFonts w:ascii="Arial" w:hAnsi="Arial"/>
              </w:rPr>
              <w:t>PRU</w:t>
            </w:r>
          </w:p>
        </w:tc>
        <w:tc>
          <w:tcPr>
            <w:tcW w:w="1726" w:type="dxa"/>
            <w:tcBorders>
              <w:top w:val="single" w:sz="4" w:space="0" w:color="E40037"/>
              <w:left w:val="single" w:sz="4" w:space="0" w:color="E40037"/>
              <w:bottom w:val="single" w:sz="4" w:space="0" w:color="E40037"/>
              <w:right w:val="single" w:sz="4" w:space="0" w:color="E40037"/>
            </w:tcBorders>
          </w:tcPr>
          <w:p w14:paraId="0279978B"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1</w:t>
            </w:r>
          </w:p>
        </w:tc>
        <w:tc>
          <w:tcPr>
            <w:tcW w:w="1726" w:type="dxa"/>
            <w:tcBorders>
              <w:top w:val="single" w:sz="4" w:space="0" w:color="E40037"/>
              <w:left w:val="single" w:sz="4" w:space="0" w:color="E40037"/>
              <w:bottom w:val="single" w:sz="4" w:space="0" w:color="E40037"/>
              <w:right w:val="single" w:sz="4" w:space="0" w:color="E40037"/>
            </w:tcBorders>
          </w:tcPr>
          <w:p w14:paraId="0DB75650"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0</w:t>
            </w:r>
          </w:p>
        </w:tc>
        <w:tc>
          <w:tcPr>
            <w:tcW w:w="1726" w:type="dxa"/>
            <w:tcBorders>
              <w:top w:val="single" w:sz="4" w:space="0" w:color="E40037"/>
              <w:left w:val="single" w:sz="4" w:space="0" w:color="E40037"/>
              <w:bottom w:val="single" w:sz="4" w:space="0" w:color="E40037"/>
              <w:right w:val="single" w:sz="4" w:space="0" w:color="E40037"/>
            </w:tcBorders>
          </w:tcPr>
          <w:p w14:paraId="4D76F1FD"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2</w:t>
            </w:r>
          </w:p>
        </w:tc>
        <w:tc>
          <w:tcPr>
            <w:tcW w:w="1726" w:type="dxa"/>
            <w:tcBorders>
              <w:top w:val="single" w:sz="4" w:space="0" w:color="E40037"/>
              <w:left w:val="single" w:sz="4" w:space="0" w:color="E40037"/>
              <w:bottom w:val="single" w:sz="4" w:space="0" w:color="E40037"/>
              <w:right w:val="single" w:sz="4" w:space="0" w:color="E40037"/>
            </w:tcBorders>
          </w:tcPr>
          <w:p w14:paraId="672E46DB" w14:textId="77777777" w:rsidR="00A20F86" w:rsidRPr="00A20F86" w:rsidRDefault="00A20F86" w:rsidP="00A20F86">
            <w:pPr>
              <w:jc w:val="right"/>
              <w:cnfStyle w:val="000000100000" w:firstRow="0" w:lastRow="0" w:firstColumn="0" w:lastColumn="0" w:oddVBand="0" w:evenVBand="0" w:oddHBand="1" w:evenHBand="0" w:firstRowFirstColumn="0" w:firstRowLastColumn="0" w:lastRowFirstColumn="0" w:lastRowLastColumn="0"/>
              <w:rPr>
                <w:rFonts w:ascii="Arial" w:hAnsi="Arial"/>
              </w:rPr>
            </w:pPr>
            <w:r w:rsidRPr="00A20F86">
              <w:rPr>
                <w:rFonts w:ascii="Arial" w:hAnsi="Arial"/>
              </w:rPr>
              <w:t>1</w:t>
            </w:r>
          </w:p>
        </w:tc>
      </w:tr>
      <w:tr w:rsidR="00A20F86" w:rsidRPr="00A20F86" w14:paraId="0E33BAAE" w14:textId="77777777" w:rsidTr="00697A4E">
        <w:tc>
          <w:tcPr>
            <w:cnfStyle w:val="001000000000" w:firstRow="0" w:lastRow="0" w:firstColumn="1" w:lastColumn="0" w:oddVBand="0" w:evenVBand="0" w:oddHBand="0" w:evenHBand="0" w:firstRowFirstColumn="0" w:firstRowLastColumn="0" w:lastRowFirstColumn="0" w:lastRowLastColumn="0"/>
            <w:tcW w:w="1726" w:type="dxa"/>
            <w:tcBorders>
              <w:top w:val="single" w:sz="4" w:space="0" w:color="E40037"/>
              <w:left w:val="single" w:sz="4" w:space="0" w:color="E40037"/>
              <w:bottom w:val="single" w:sz="4" w:space="0" w:color="E40037"/>
              <w:right w:val="single" w:sz="4" w:space="0" w:color="E40037"/>
            </w:tcBorders>
          </w:tcPr>
          <w:p w14:paraId="2DC11A0F" w14:textId="77777777" w:rsidR="00A20F86" w:rsidRPr="00A20F86" w:rsidRDefault="00A20F86" w:rsidP="00A20F86">
            <w:pPr>
              <w:rPr>
                <w:rFonts w:ascii="Arial" w:hAnsi="Arial"/>
              </w:rPr>
            </w:pPr>
            <w:r w:rsidRPr="00A20F86">
              <w:rPr>
                <w:rFonts w:ascii="Arial" w:hAnsi="Arial"/>
              </w:rPr>
              <w:t>Total</w:t>
            </w:r>
          </w:p>
        </w:tc>
        <w:tc>
          <w:tcPr>
            <w:tcW w:w="1726" w:type="dxa"/>
            <w:tcBorders>
              <w:top w:val="single" w:sz="4" w:space="0" w:color="E40037"/>
              <w:left w:val="single" w:sz="4" w:space="0" w:color="E40037"/>
              <w:bottom w:val="single" w:sz="4" w:space="0" w:color="E40037"/>
              <w:right w:val="single" w:sz="4" w:space="0" w:color="E40037"/>
            </w:tcBorders>
          </w:tcPr>
          <w:p w14:paraId="641174A8"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b/>
                <w:bCs/>
              </w:rPr>
            </w:pPr>
            <w:r w:rsidRPr="00A20F86">
              <w:rPr>
                <w:rFonts w:ascii="Arial" w:hAnsi="Arial"/>
                <w:b/>
                <w:bCs/>
              </w:rPr>
              <w:t>183</w:t>
            </w:r>
          </w:p>
        </w:tc>
        <w:tc>
          <w:tcPr>
            <w:tcW w:w="1726" w:type="dxa"/>
            <w:tcBorders>
              <w:top w:val="single" w:sz="4" w:space="0" w:color="E40037"/>
              <w:left w:val="single" w:sz="4" w:space="0" w:color="E40037"/>
              <w:bottom w:val="single" w:sz="4" w:space="0" w:color="E40037"/>
              <w:right w:val="single" w:sz="4" w:space="0" w:color="E40037"/>
            </w:tcBorders>
          </w:tcPr>
          <w:p w14:paraId="0CB54E9D"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b/>
                <w:bCs/>
              </w:rPr>
            </w:pPr>
            <w:r w:rsidRPr="00A20F86">
              <w:rPr>
                <w:rFonts w:ascii="Arial" w:hAnsi="Arial"/>
                <w:b/>
                <w:bCs/>
              </w:rPr>
              <w:t>148</w:t>
            </w:r>
          </w:p>
        </w:tc>
        <w:tc>
          <w:tcPr>
            <w:tcW w:w="1726" w:type="dxa"/>
            <w:tcBorders>
              <w:top w:val="single" w:sz="4" w:space="0" w:color="E40037"/>
              <w:left w:val="single" w:sz="4" w:space="0" w:color="E40037"/>
              <w:bottom w:val="single" w:sz="4" w:space="0" w:color="E40037"/>
              <w:right w:val="single" w:sz="4" w:space="0" w:color="E40037"/>
            </w:tcBorders>
          </w:tcPr>
          <w:p w14:paraId="2295A0FF"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b/>
                <w:bCs/>
              </w:rPr>
            </w:pPr>
            <w:r w:rsidRPr="00A20F86">
              <w:rPr>
                <w:rFonts w:ascii="Arial" w:hAnsi="Arial"/>
                <w:b/>
                <w:bCs/>
              </w:rPr>
              <w:t>26</w:t>
            </w:r>
          </w:p>
        </w:tc>
        <w:tc>
          <w:tcPr>
            <w:tcW w:w="1726" w:type="dxa"/>
            <w:tcBorders>
              <w:top w:val="single" w:sz="4" w:space="0" w:color="E40037"/>
              <w:left w:val="single" w:sz="4" w:space="0" w:color="E40037"/>
              <w:bottom w:val="single" w:sz="4" w:space="0" w:color="E40037"/>
              <w:right w:val="single" w:sz="4" w:space="0" w:color="E40037"/>
            </w:tcBorders>
          </w:tcPr>
          <w:p w14:paraId="614E26CF" w14:textId="77777777" w:rsidR="00A20F86" w:rsidRPr="00A20F86" w:rsidRDefault="00A20F86" w:rsidP="00A20F86">
            <w:pPr>
              <w:jc w:val="right"/>
              <w:cnfStyle w:val="000000000000" w:firstRow="0" w:lastRow="0" w:firstColumn="0" w:lastColumn="0" w:oddVBand="0" w:evenVBand="0" w:oddHBand="0" w:evenHBand="0" w:firstRowFirstColumn="0" w:firstRowLastColumn="0" w:lastRowFirstColumn="0" w:lastRowLastColumn="0"/>
              <w:rPr>
                <w:rFonts w:ascii="Arial" w:hAnsi="Arial"/>
                <w:b/>
                <w:bCs/>
              </w:rPr>
            </w:pPr>
            <w:r w:rsidRPr="00A20F86">
              <w:rPr>
                <w:rFonts w:ascii="Arial" w:hAnsi="Arial"/>
                <w:b/>
                <w:bCs/>
              </w:rPr>
              <w:t>139</w:t>
            </w:r>
          </w:p>
        </w:tc>
      </w:tr>
    </w:tbl>
    <w:p w14:paraId="718D52C4" w14:textId="77777777" w:rsidR="00A20F86" w:rsidRPr="00A20F86" w:rsidRDefault="00A20F86" w:rsidP="00A20F86">
      <w:pPr>
        <w:tabs>
          <w:tab w:val="left" w:pos="567"/>
        </w:tabs>
        <w:spacing w:after="0" w:line="240" w:lineRule="auto"/>
        <w:ind w:left="567" w:hanging="567"/>
        <w:rPr>
          <w:rFonts w:ascii="Arial" w:eastAsia="Times New Roman" w:hAnsi="Arial" w:cs="Times New Roman"/>
          <w:b/>
          <w:bCs/>
          <w:kern w:val="0"/>
          <w:lang w:eastAsia="en-GB"/>
          <w14:ligatures w14:val="none"/>
        </w:rPr>
      </w:pPr>
    </w:p>
    <w:p w14:paraId="55AD13D3" w14:textId="77777777" w:rsidR="00A20F86" w:rsidRPr="00A20F86" w:rsidRDefault="00A20F86" w:rsidP="00A20F86">
      <w:pPr>
        <w:tabs>
          <w:tab w:val="left" w:pos="567"/>
        </w:tabs>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8.4</w:t>
      </w:r>
      <w:r w:rsidRPr="00A20F86">
        <w:rPr>
          <w:rFonts w:ascii="Arial" w:eastAsia="Times New Roman" w:hAnsi="Arial" w:cs="Times New Roman"/>
          <w:kern w:val="0"/>
          <w:lang w:eastAsia="en-GB"/>
          <w14:ligatures w14:val="none"/>
        </w:rPr>
        <w:tab/>
        <w:t>It is recommended by FRG and HNRG that a further review of balances is undertaken.</w:t>
      </w:r>
    </w:p>
    <w:p w14:paraId="760F4A4D" w14:textId="77777777" w:rsidR="00A20F86" w:rsidRP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43A26FD9"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
          <w:kern w:val="0"/>
          <w:lang w:eastAsia="en-GB"/>
          <w14:ligatures w14:val="none"/>
        </w:rPr>
        <w:t xml:space="preserve">9 </w:t>
      </w:r>
      <w:r w:rsidRPr="00A20F86">
        <w:rPr>
          <w:rFonts w:ascii="Arial" w:eastAsia="Times New Roman" w:hAnsi="Arial" w:cs="Times New Roman"/>
          <w:b/>
          <w:kern w:val="0"/>
          <w:lang w:eastAsia="en-GB"/>
          <w14:ligatures w14:val="none"/>
        </w:rPr>
        <w:tab/>
        <w:t>How will the Transfer be Utilised</w:t>
      </w:r>
    </w:p>
    <w:p w14:paraId="49A9A5AF" w14:textId="77777777" w:rsidR="00A20F86" w:rsidRPr="00A20F86" w:rsidRDefault="00A20F86" w:rsidP="00A20F86">
      <w:pPr>
        <w:spacing w:after="0" w:line="240" w:lineRule="auto"/>
        <w:rPr>
          <w:rFonts w:ascii="Arial" w:eastAsia="Times New Roman" w:hAnsi="Arial" w:cs="Times New Roman"/>
          <w:bCs/>
          <w:kern w:val="0"/>
          <w:lang w:eastAsia="en-GB"/>
          <w14:ligatures w14:val="none"/>
        </w:rPr>
      </w:pPr>
    </w:p>
    <w:p w14:paraId="0C45F9DA"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9.1</w:t>
      </w:r>
      <w:r w:rsidRPr="00A20F86">
        <w:rPr>
          <w:rFonts w:ascii="Arial" w:eastAsia="Times New Roman" w:hAnsi="Arial" w:cs="Times New Roman"/>
          <w:bCs/>
          <w:kern w:val="0"/>
          <w:lang w:eastAsia="en-GB"/>
          <w14:ligatures w14:val="none"/>
        </w:rPr>
        <w:tab/>
        <w:t>Any funding transferred from the Schools Block will be funded back to mainstream schools</w:t>
      </w:r>
    </w:p>
    <w:p w14:paraId="738EDA69" w14:textId="77777777" w:rsidR="00A20F86" w:rsidRPr="00A20F86" w:rsidRDefault="00A20F86" w:rsidP="00A20F86">
      <w:pPr>
        <w:spacing w:after="0" w:line="240" w:lineRule="auto"/>
        <w:rPr>
          <w:rFonts w:ascii="Arial" w:eastAsia="Times New Roman" w:hAnsi="Arial" w:cs="Times New Roman"/>
          <w:bCs/>
          <w:kern w:val="0"/>
          <w:lang w:eastAsia="en-GB"/>
          <w14:ligatures w14:val="none"/>
        </w:rPr>
      </w:pPr>
    </w:p>
    <w:p w14:paraId="4A5DF384" w14:textId="77777777" w:rsidR="00A20F86" w:rsidRPr="00A20F86" w:rsidRDefault="00A20F86" w:rsidP="00A20F86">
      <w:pPr>
        <w:numPr>
          <w:ilvl w:val="0"/>
          <w:numId w:val="5"/>
        </w:numPr>
        <w:spacing w:after="0" w:line="240" w:lineRule="auto"/>
        <w:ind w:left="1134"/>
        <w:contextualSpacing/>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The Authority will continue to invest in early intervention strategies such as the Inclusion Framework and Outreach.</w:t>
      </w:r>
    </w:p>
    <w:p w14:paraId="1153F515"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p>
    <w:p w14:paraId="5CEDF035" w14:textId="77777777" w:rsidR="00A20F86" w:rsidRPr="00A20F86" w:rsidRDefault="00A20F86" w:rsidP="00A20F86">
      <w:pPr>
        <w:numPr>
          <w:ilvl w:val="0"/>
          <w:numId w:val="5"/>
        </w:numPr>
        <w:spacing w:after="0" w:line="240" w:lineRule="auto"/>
        <w:ind w:left="1134"/>
        <w:contextualSpacing/>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The Authority will continue to invest in enhanced provision to provide specialist units for pupils in mainstream schools.</w:t>
      </w:r>
    </w:p>
    <w:p w14:paraId="2F250955" w14:textId="77777777" w:rsidR="00A20F86" w:rsidRP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3AE3C0D2"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
          <w:kern w:val="0"/>
          <w:lang w:eastAsia="en-GB"/>
          <w14:ligatures w14:val="none"/>
        </w:rPr>
        <w:t>10</w:t>
      </w:r>
      <w:r w:rsidRPr="00A20F86">
        <w:rPr>
          <w:rFonts w:ascii="Arial" w:eastAsia="Times New Roman" w:hAnsi="Arial" w:cs="Times New Roman"/>
          <w:b/>
          <w:kern w:val="0"/>
          <w:lang w:eastAsia="en-GB"/>
          <w14:ligatures w14:val="none"/>
        </w:rPr>
        <w:tab/>
        <w:t>Actions taken to Address the Overspend</w:t>
      </w:r>
    </w:p>
    <w:p w14:paraId="4E6901F1" w14:textId="77777777" w:rsidR="00A20F86" w:rsidRPr="00A20F86" w:rsidRDefault="00A20F86" w:rsidP="00A20F86">
      <w:pPr>
        <w:spacing w:after="0" w:line="240" w:lineRule="auto"/>
        <w:rPr>
          <w:rFonts w:ascii="Arial" w:eastAsia="Times New Roman" w:hAnsi="Arial" w:cs="Times New Roman"/>
          <w:bCs/>
          <w:kern w:val="0"/>
          <w:lang w:eastAsia="en-GB"/>
          <w14:ligatures w14:val="none"/>
        </w:rPr>
      </w:pPr>
    </w:p>
    <w:p w14:paraId="2D7C6999"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10.1</w:t>
      </w:r>
      <w:r w:rsidRPr="00A20F86">
        <w:rPr>
          <w:rFonts w:ascii="Arial" w:eastAsia="Times New Roman" w:hAnsi="Arial" w:cs="Times New Roman"/>
          <w:bCs/>
          <w:kern w:val="0"/>
          <w:lang w:eastAsia="en-GB"/>
          <w14:ligatures w14:val="none"/>
        </w:rPr>
        <w:tab/>
        <w:t xml:space="preserve">Schools Forum approved funding for the Inclusion Framework which enables schools to access pre-statutory funding to develop inclusive practice. </w:t>
      </w:r>
    </w:p>
    <w:p w14:paraId="18EBCD67"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p>
    <w:p w14:paraId="2933B273"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t>10.2</w:t>
      </w:r>
      <w:r w:rsidRPr="00A20F86">
        <w:rPr>
          <w:rFonts w:ascii="Arial" w:eastAsia="Times New Roman" w:hAnsi="Arial" w:cs="Times New Roman"/>
          <w:bCs/>
          <w:kern w:val="0"/>
          <w:lang w:eastAsia="en-GB"/>
          <w14:ligatures w14:val="none"/>
        </w:rPr>
        <w:tab/>
        <w:t>Schools Forum also agreed funding for Outreach for financial years 2024/25, 2025/26 and 2025/27. To recap, outreach is focussed on meeting needs in mainstream both at SEN Support and at EHCP to prevent escalation to special school; the outreach from PRUs is focussed on reducing permanent exclusions.</w:t>
      </w:r>
    </w:p>
    <w:p w14:paraId="3F51AAF0"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p>
    <w:p w14:paraId="3B1785C4"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Cs/>
          <w:kern w:val="0"/>
          <w:lang w:eastAsia="en-GB"/>
          <w14:ligatures w14:val="none"/>
        </w:rPr>
        <w:lastRenderedPageBreak/>
        <w:t>10.3</w:t>
      </w:r>
      <w:r w:rsidRPr="00A20F86">
        <w:rPr>
          <w:rFonts w:ascii="Arial" w:eastAsia="Times New Roman" w:hAnsi="Arial" w:cs="Times New Roman"/>
          <w:bCs/>
          <w:kern w:val="0"/>
          <w:lang w:eastAsia="en-GB"/>
          <w14:ligatures w14:val="none"/>
        </w:rPr>
        <w:tab/>
        <w:t xml:space="preserve">Furthermore, the Authority has invested significant funding in the system as shown in </w:t>
      </w:r>
      <w:r w:rsidRPr="00A20F86">
        <w:rPr>
          <w:rFonts w:ascii="Arial" w:eastAsia="Times New Roman" w:hAnsi="Arial" w:cs="Times New Roman"/>
          <w:b/>
          <w:kern w:val="0"/>
          <w:lang w:eastAsia="en-GB"/>
          <w14:ligatures w14:val="none"/>
        </w:rPr>
        <w:t>Table 15</w:t>
      </w:r>
      <w:r w:rsidRPr="00A20F86">
        <w:rPr>
          <w:rFonts w:ascii="Arial" w:eastAsia="Times New Roman" w:hAnsi="Arial" w:cs="Times New Roman"/>
          <w:bCs/>
          <w:kern w:val="0"/>
          <w:lang w:eastAsia="en-GB"/>
          <w14:ligatures w14:val="none"/>
        </w:rPr>
        <w:t>.</w:t>
      </w:r>
    </w:p>
    <w:p w14:paraId="10737C1C" w14:textId="77777777" w:rsidR="00A20F86" w:rsidRPr="00A20F86" w:rsidRDefault="00A20F86" w:rsidP="00A20F86">
      <w:pPr>
        <w:spacing w:after="0" w:line="240" w:lineRule="auto"/>
        <w:rPr>
          <w:rFonts w:ascii="Arial" w:eastAsia="Times New Roman" w:hAnsi="Arial" w:cs="Times New Roman"/>
          <w:b/>
          <w:kern w:val="0"/>
          <w:lang w:eastAsia="en-GB"/>
          <w14:ligatures w14:val="none"/>
        </w:rPr>
      </w:pPr>
    </w:p>
    <w:tbl>
      <w:tblPr>
        <w:tblStyle w:val="ListTable3-Accent21"/>
        <w:tblW w:w="0" w:type="auto"/>
        <w:tblLook w:val="04A0" w:firstRow="1" w:lastRow="0" w:firstColumn="1" w:lastColumn="0" w:noHBand="0" w:noVBand="1"/>
      </w:tblPr>
      <w:tblGrid>
        <w:gridCol w:w="2876"/>
        <w:gridCol w:w="1514"/>
        <w:gridCol w:w="4240"/>
      </w:tblGrid>
      <w:tr w:rsidR="00A20F86" w:rsidRPr="00A20F86" w14:paraId="0935F40C" w14:textId="77777777" w:rsidTr="00697A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76" w:type="dxa"/>
            <w:tcBorders>
              <w:right w:val="single" w:sz="4" w:space="0" w:color="E40037"/>
            </w:tcBorders>
            <w:shd w:val="clear" w:color="auto" w:fill="E40037"/>
          </w:tcPr>
          <w:p w14:paraId="396CF1B9"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Investment</w:t>
            </w:r>
          </w:p>
        </w:tc>
        <w:tc>
          <w:tcPr>
            <w:tcW w:w="1514" w:type="dxa"/>
            <w:tcBorders>
              <w:left w:val="single" w:sz="4" w:space="0" w:color="E40037"/>
              <w:right w:val="single" w:sz="4" w:space="0" w:color="E40037"/>
            </w:tcBorders>
            <w:shd w:val="clear" w:color="auto" w:fill="E40037"/>
          </w:tcPr>
          <w:p w14:paraId="23821ED9" w14:textId="77777777" w:rsidR="00A20F86" w:rsidRPr="00A20F86" w:rsidRDefault="00A20F86" w:rsidP="00A20F86">
            <w:pPr>
              <w:spacing w:line="259"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r w:rsidRPr="00A20F86">
              <w:rPr>
                <w:rFonts w:ascii="Arial" w:eastAsia="Calibri" w:hAnsi="Arial" w:cs="Arial"/>
                <w:szCs w:val="22"/>
              </w:rPr>
              <w:t>£000</w:t>
            </w:r>
          </w:p>
        </w:tc>
        <w:tc>
          <w:tcPr>
            <w:tcW w:w="4240" w:type="dxa"/>
            <w:tcBorders>
              <w:left w:val="single" w:sz="4" w:space="0" w:color="E40037"/>
            </w:tcBorders>
            <w:shd w:val="clear" w:color="auto" w:fill="E40037"/>
          </w:tcPr>
          <w:p w14:paraId="51E6401A" w14:textId="77777777" w:rsidR="00A20F86" w:rsidRPr="00A20F86" w:rsidRDefault="00A20F86" w:rsidP="00A20F86">
            <w:pPr>
              <w:spacing w:line="259"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Cs w:val="22"/>
              </w:rPr>
            </w:pPr>
          </w:p>
        </w:tc>
      </w:tr>
      <w:tr w:rsidR="00A20F86" w:rsidRPr="00A20F86" w14:paraId="6284C6D1"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Borders>
              <w:left w:val="single" w:sz="4" w:space="0" w:color="E40037"/>
              <w:bottom w:val="single" w:sz="4" w:space="0" w:color="E40037"/>
              <w:right w:val="single" w:sz="4" w:space="0" w:color="E40037"/>
            </w:tcBorders>
          </w:tcPr>
          <w:p w14:paraId="75E03896"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SEND Assistance Plan</w:t>
            </w:r>
          </w:p>
        </w:tc>
        <w:tc>
          <w:tcPr>
            <w:tcW w:w="1514" w:type="dxa"/>
            <w:tcBorders>
              <w:left w:val="single" w:sz="4" w:space="0" w:color="E40037"/>
              <w:bottom w:val="single" w:sz="4" w:space="0" w:color="E40037"/>
              <w:right w:val="single" w:sz="4" w:space="0" w:color="E40037"/>
            </w:tcBorders>
          </w:tcPr>
          <w:p w14:paraId="35E7D697"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bCs/>
                <w:szCs w:val="22"/>
              </w:rPr>
            </w:pPr>
            <w:r w:rsidRPr="00A20F86">
              <w:rPr>
                <w:rFonts w:ascii="Arial" w:eastAsia="Calibri" w:hAnsi="Arial" w:cs="Arial"/>
                <w:bCs/>
                <w:szCs w:val="22"/>
              </w:rPr>
              <w:t>4,422</w:t>
            </w:r>
          </w:p>
        </w:tc>
        <w:tc>
          <w:tcPr>
            <w:tcW w:w="4240" w:type="dxa"/>
            <w:tcBorders>
              <w:left w:val="single" w:sz="4" w:space="0" w:color="E40037"/>
              <w:bottom w:val="single" w:sz="4" w:space="0" w:color="E40037"/>
              <w:right w:val="single" w:sz="4" w:space="0" w:color="E40037"/>
            </w:tcBorders>
          </w:tcPr>
          <w:p w14:paraId="1A2041B0" w14:textId="77777777" w:rsidR="00A20F86" w:rsidRPr="00A20F86" w:rsidRDefault="00A20F86" w:rsidP="00A20F86">
            <w:pPr>
              <w:spacing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bCs/>
                <w:szCs w:val="22"/>
              </w:rPr>
            </w:pPr>
            <w:r w:rsidRPr="00A20F86">
              <w:rPr>
                <w:rFonts w:ascii="Arial" w:eastAsia="Calibri" w:hAnsi="Arial" w:cs="Arial"/>
                <w:bCs/>
                <w:szCs w:val="22"/>
              </w:rPr>
              <w:t xml:space="preserve">Funding to accelerate the pace of improvement in SEND statutory responsibilities. </w:t>
            </w:r>
          </w:p>
        </w:tc>
      </w:tr>
      <w:tr w:rsidR="00A20F86" w:rsidRPr="00A20F86" w14:paraId="61BE8691" w14:textId="77777777" w:rsidTr="00697A4E">
        <w:tc>
          <w:tcPr>
            <w:cnfStyle w:val="001000000000" w:firstRow="0" w:lastRow="0" w:firstColumn="1" w:lastColumn="0" w:oddVBand="0" w:evenVBand="0" w:oddHBand="0" w:evenHBand="0" w:firstRowFirstColumn="0" w:firstRowLastColumn="0" w:lastRowFirstColumn="0" w:lastRowLastColumn="0"/>
            <w:tcW w:w="2876" w:type="dxa"/>
            <w:tcBorders>
              <w:top w:val="single" w:sz="4" w:space="0" w:color="E40037"/>
              <w:left w:val="single" w:sz="4" w:space="0" w:color="E40037"/>
              <w:bottom w:val="single" w:sz="4" w:space="0" w:color="E40037"/>
              <w:right w:val="single" w:sz="4" w:space="0" w:color="E40037"/>
            </w:tcBorders>
          </w:tcPr>
          <w:p w14:paraId="1ACC1D84"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Inclusion Strategy</w:t>
            </w:r>
          </w:p>
        </w:tc>
        <w:tc>
          <w:tcPr>
            <w:tcW w:w="1514" w:type="dxa"/>
            <w:tcBorders>
              <w:top w:val="single" w:sz="4" w:space="0" w:color="E40037"/>
              <w:left w:val="single" w:sz="4" w:space="0" w:color="E40037"/>
              <w:bottom w:val="single" w:sz="4" w:space="0" w:color="E40037"/>
              <w:right w:val="single" w:sz="4" w:space="0" w:color="E40037"/>
            </w:tcBorders>
          </w:tcPr>
          <w:p w14:paraId="2394FF69"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bCs/>
                <w:szCs w:val="22"/>
              </w:rPr>
            </w:pPr>
            <w:r w:rsidRPr="00A20F86">
              <w:rPr>
                <w:rFonts w:ascii="Arial" w:eastAsia="Calibri" w:hAnsi="Arial" w:cs="Arial"/>
                <w:bCs/>
                <w:szCs w:val="22"/>
              </w:rPr>
              <w:t>2,029</w:t>
            </w:r>
          </w:p>
        </w:tc>
        <w:tc>
          <w:tcPr>
            <w:tcW w:w="4240" w:type="dxa"/>
            <w:tcBorders>
              <w:top w:val="single" w:sz="4" w:space="0" w:color="E40037"/>
              <w:left w:val="single" w:sz="4" w:space="0" w:color="E40037"/>
              <w:bottom w:val="single" w:sz="4" w:space="0" w:color="E40037"/>
              <w:right w:val="single" w:sz="4" w:space="0" w:color="E40037"/>
            </w:tcBorders>
          </w:tcPr>
          <w:p w14:paraId="26172A4D" w14:textId="77777777" w:rsidR="00A20F86" w:rsidRPr="00A20F86" w:rsidRDefault="00A20F86" w:rsidP="00A20F86">
            <w:pPr>
              <w:spacing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Cs/>
                <w:szCs w:val="22"/>
              </w:rPr>
            </w:pPr>
          </w:p>
        </w:tc>
      </w:tr>
      <w:tr w:rsidR="00A20F86" w:rsidRPr="00A20F86" w14:paraId="77B18CB6"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Borders>
              <w:top w:val="single" w:sz="4" w:space="0" w:color="E40037"/>
              <w:left w:val="single" w:sz="4" w:space="0" w:color="E40037"/>
              <w:bottom w:val="single" w:sz="4" w:space="0" w:color="E40037"/>
              <w:right w:val="single" w:sz="4" w:space="0" w:color="E40037"/>
            </w:tcBorders>
          </w:tcPr>
          <w:p w14:paraId="653D4429"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Assistant Education Psychologists</w:t>
            </w:r>
          </w:p>
        </w:tc>
        <w:tc>
          <w:tcPr>
            <w:tcW w:w="1514" w:type="dxa"/>
            <w:tcBorders>
              <w:top w:val="single" w:sz="4" w:space="0" w:color="E40037"/>
              <w:left w:val="single" w:sz="4" w:space="0" w:color="E40037"/>
              <w:bottom w:val="single" w:sz="4" w:space="0" w:color="E40037"/>
              <w:right w:val="single" w:sz="4" w:space="0" w:color="E40037"/>
            </w:tcBorders>
          </w:tcPr>
          <w:p w14:paraId="7A6CD0C7"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bCs/>
                <w:szCs w:val="22"/>
              </w:rPr>
            </w:pPr>
            <w:r w:rsidRPr="00A20F86">
              <w:rPr>
                <w:rFonts w:ascii="Arial" w:eastAsia="Calibri" w:hAnsi="Arial" w:cs="Arial"/>
                <w:bCs/>
                <w:szCs w:val="22"/>
              </w:rPr>
              <w:t>4,061</w:t>
            </w:r>
          </w:p>
        </w:tc>
        <w:tc>
          <w:tcPr>
            <w:tcW w:w="4240" w:type="dxa"/>
            <w:tcBorders>
              <w:top w:val="single" w:sz="4" w:space="0" w:color="E40037"/>
              <w:left w:val="single" w:sz="4" w:space="0" w:color="E40037"/>
              <w:bottom w:val="single" w:sz="4" w:space="0" w:color="E40037"/>
              <w:right w:val="single" w:sz="4" w:space="0" w:color="E40037"/>
            </w:tcBorders>
          </w:tcPr>
          <w:p w14:paraId="3B92541C" w14:textId="77777777" w:rsidR="00A20F86" w:rsidRPr="00A20F86" w:rsidRDefault="00A20F86" w:rsidP="00A20F86">
            <w:pPr>
              <w:spacing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bCs/>
                <w:szCs w:val="22"/>
              </w:rPr>
            </w:pPr>
            <w:r w:rsidRPr="00A20F86">
              <w:rPr>
                <w:rFonts w:ascii="Arial" w:eastAsia="Calibri" w:hAnsi="Arial" w:cs="Arial"/>
                <w:bCs/>
                <w:szCs w:val="22"/>
              </w:rPr>
              <w:t>Included funding to fund award a contract for the processing of 2,820 EHCP applications.</w:t>
            </w:r>
          </w:p>
        </w:tc>
      </w:tr>
      <w:tr w:rsidR="00A20F86" w:rsidRPr="00A20F86" w14:paraId="4C06C5A3" w14:textId="77777777" w:rsidTr="00697A4E">
        <w:tc>
          <w:tcPr>
            <w:cnfStyle w:val="001000000000" w:firstRow="0" w:lastRow="0" w:firstColumn="1" w:lastColumn="0" w:oddVBand="0" w:evenVBand="0" w:oddHBand="0" w:evenHBand="0" w:firstRowFirstColumn="0" w:firstRowLastColumn="0" w:lastRowFirstColumn="0" w:lastRowLastColumn="0"/>
            <w:tcW w:w="2876" w:type="dxa"/>
            <w:tcBorders>
              <w:top w:val="single" w:sz="4" w:space="0" w:color="E40037"/>
              <w:left w:val="single" w:sz="4" w:space="0" w:color="E40037"/>
              <w:bottom w:val="single" w:sz="4" w:space="0" w:color="E40037"/>
              <w:right w:val="single" w:sz="4" w:space="0" w:color="E40037"/>
            </w:tcBorders>
          </w:tcPr>
          <w:p w14:paraId="71701A73"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 xml:space="preserve">SEND Business Case </w:t>
            </w:r>
          </w:p>
        </w:tc>
        <w:tc>
          <w:tcPr>
            <w:tcW w:w="1514" w:type="dxa"/>
            <w:tcBorders>
              <w:top w:val="single" w:sz="4" w:space="0" w:color="E40037"/>
              <w:left w:val="single" w:sz="4" w:space="0" w:color="E40037"/>
              <w:bottom w:val="single" w:sz="4" w:space="0" w:color="E40037"/>
              <w:right w:val="single" w:sz="4" w:space="0" w:color="E40037"/>
            </w:tcBorders>
          </w:tcPr>
          <w:p w14:paraId="74B3A330"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bCs/>
                <w:szCs w:val="22"/>
              </w:rPr>
            </w:pPr>
            <w:r w:rsidRPr="00A20F86">
              <w:rPr>
                <w:rFonts w:ascii="Arial" w:eastAsia="Calibri" w:hAnsi="Arial" w:cs="Arial"/>
                <w:bCs/>
                <w:szCs w:val="22"/>
              </w:rPr>
              <w:t>1,307</w:t>
            </w:r>
          </w:p>
        </w:tc>
        <w:tc>
          <w:tcPr>
            <w:tcW w:w="4240" w:type="dxa"/>
            <w:tcBorders>
              <w:top w:val="single" w:sz="4" w:space="0" w:color="E40037"/>
              <w:left w:val="single" w:sz="4" w:space="0" w:color="E40037"/>
              <w:bottom w:val="single" w:sz="4" w:space="0" w:color="E40037"/>
              <w:right w:val="single" w:sz="4" w:space="0" w:color="E40037"/>
            </w:tcBorders>
          </w:tcPr>
          <w:p w14:paraId="2A885A8E" w14:textId="77777777" w:rsidR="00A20F86" w:rsidRPr="00A20F86" w:rsidRDefault="00A20F86" w:rsidP="00A20F86">
            <w:pPr>
              <w:spacing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Cs/>
                <w:szCs w:val="22"/>
              </w:rPr>
            </w:pPr>
            <w:r w:rsidRPr="00A20F86">
              <w:rPr>
                <w:rFonts w:ascii="Arial" w:eastAsia="Calibri" w:hAnsi="Arial" w:cs="Arial"/>
                <w:bCs/>
                <w:szCs w:val="22"/>
              </w:rPr>
              <w:t>A mix of intervention approaches from Early Years through to the Independent sector to limit d16,426emands on the HNB</w:t>
            </w:r>
          </w:p>
        </w:tc>
      </w:tr>
      <w:tr w:rsidR="00A20F86" w:rsidRPr="00A20F86" w14:paraId="097CF9CB"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Borders>
              <w:left w:val="single" w:sz="4" w:space="0" w:color="E40037"/>
              <w:bottom w:val="single" w:sz="4" w:space="0" w:color="E40037"/>
              <w:right w:val="single" w:sz="4" w:space="0" w:color="E40037"/>
            </w:tcBorders>
          </w:tcPr>
          <w:p w14:paraId="3AD8E611"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Accelerating Improvements to EHC Needs Assessments</w:t>
            </w:r>
          </w:p>
        </w:tc>
        <w:tc>
          <w:tcPr>
            <w:tcW w:w="1514" w:type="dxa"/>
            <w:tcBorders>
              <w:left w:val="single" w:sz="4" w:space="0" w:color="E40037"/>
              <w:bottom w:val="single" w:sz="4" w:space="0" w:color="E40037"/>
              <w:right w:val="single" w:sz="4" w:space="0" w:color="E40037"/>
            </w:tcBorders>
          </w:tcPr>
          <w:p w14:paraId="2DFEEA93"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bCs/>
                <w:szCs w:val="22"/>
              </w:rPr>
            </w:pPr>
            <w:r w:rsidRPr="00A20F86">
              <w:rPr>
                <w:rFonts w:ascii="Arial" w:eastAsia="Calibri" w:hAnsi="Arial" w:cs="Arial"/>
                <w:bCs/>
                <w:szCs w:val="22"/>
              </w:rPr>
              <w:t>2,614</w:t>
            </w:r>
          </w:p>
        </w:tc>
        <w:tc>
          <w:tcPr>
            <w:tcW w:w="4240" w:type="dxa"/>
            <w:tcBorders>
              <w:left w:val="single" w:sz="4" w:space="0" w:color="E40037"/>
              <w:bottom w:val="single" w:sz="4" w:space="0" w:color="E40037"/>
              <w:right w:val="single" w:sz="4" w:space="0" w:color="E40037"/>
            </w:tcBorders>
          </w:tcPr>
          <w:p w14:paraId="2779DF6C" w14:textId="77777777" w:rsidR="00A20F86" w:rsidRPr="00A20F86" w:rsidRDefault="00A20F86" w:rsidP="00A20F86">
            <w:pPr>
              <w:spacing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bCs/>
                <w:szCs w:val="22"/>
              </w:rPr>
            </w:pPr>
            <w:r w:rsidRPr="00A20F86">
              <w:rPr>
                <w:rFonts w:ascii="Arial" w:hAnsi="Arial"/>
                <w:iCs/>
              </w:rPr>
              <w:t>EP assessments and additional capacity across SEND Operations and Social Care</w:t>
            </w:r>
          </w:p>
        </w:tc>
      </w:tr>
      <w:tr w:rsidR="00A20F86" w:rsidRPr="00A20F86" w14:paraId="31D9892D" w14:textId="77777777" w:rsidTr="00697A4E">
        <w:tc>
          <w:tcPr>
            <w:cnfStyle w:val="001000000000" w:firstRow="0" w:lastRow="0" w:firstColumn="1" w:lastColumn="0" w:oddVBand="0" w:evenVBand="0" w:oddHBand="0" w:evenHBand="0" w:firstRowFirstColumn="0" w:firstRowLastColumn="0" w:lastRowFirstColumn="0" w:lastRowLastColumn="0"/>
            <w:tcW w:w="2876" w:type="dxa"/>
            <w:tcBorders>
              <w:top w:val="single" w:sz="4" w:space="0" w:color="E40037"/>
              <w:left w:val="single" w:sz="4" w:space="0" w:color="E40037"/>
              <w:bottom w:val="single" w:sz="4" w:space="0" w:color="E40037"/>
              <w:right w:val="single" w:sz="4" w:space="0" w:color="E40037"/>
            </w:tcBorders>
          </w:tcPr>
          <w:p w14:paraId="1A87A622"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Operation Backlog</w:t>
            </w:r>
          </w:p>
        </w:tc>
        <w:tc>
          <w:tcPr>
            <w:tcW w:w="1514" w:type="dxa"/>
            <w:tcBorders>
              <w:top w:val="single" w:sz="4" w:space="0" w:color="E40037"/>
              <w:left w:val="single" w:sz="4" w:space="0" w:color="E40037"/>
              <w:bottom w:val="single" w:sz="4" w:space="0" w:color="E40037"/>
              <w:right w:val="single" w:sz="4" w:space="0" w:color="E40037"/>
            </w:tcBorders>
          </w:tcPr>
          <w:p w14:paraId="60FD2178" w14:textId="77777777" w:rsidR="00A20F86" w:rsidRPr="00A20F86" w:rsidRDefault="00A20F86" w:rsidP="00A20F86">
            <w:pPr>
              <w:spacing w:line="259" w:lineRule="auto"/>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bCs/>
                <w:szCs w:val="22"/>
              </w:rPr>
            </w:pPr>
            <w:r w:rsidRPr="00A20F86">
              <w:rPr>
                <w:rFonts w:ascii="Arial" w:eastAsia="Calibri" w:hAnsi="Arial" w:cs="Arial"/>
                <w:bCs/>
                <w:szCs w:val="22"/>
              </w:rPr>
              <w:t>1,993</w:t>
            </w:r>
          </w:p>
        </w:tc>
        <w:tc>
          <w:tcPr>
            <w:tcW w:w="4240" w:type="dxa"/>
            <w:tcBorders>
              <w:top w:val="single" w:sz="4" w:space="0" w:color="E40037"/>
              <w:left w:val="single" w:sz="4" w:space="0" w:color="E40037"/>
              <w:bottom w:val="single" w:sz="4" w:space="0" w:color="E40037"/>
              <w:right w:val="single" w:sz="4" w:space="0" w:color="E40037"/>
            </w:tcBorders>
          </w:tcPr>
          <w:p w14:paraId="69F9DE7E" w14:textId="77777777" w:rsidR="00A20F86" w:rsidRPr="00A20F86" w:rsidRDefault="00A20F86" w:rsidP="00A20F86">
            <w:pPr>
              <w:spacing w:line="259"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bCs/>
                <w:szCs w:val="22"/>
              </w:rPr>
            </w:pPr>
            <w:r w:rsidRPr="00A20F86">
              <w:rPr>
                <w:rFonts w:ascii="Arial" w:eastAsia="Calibri" w:hAnsi="Arial" w:cs="Arial"/>
                <w:bCs/>
                <w:szCs w:val="22"/>
              </w:rPr>
              <w:t>Included funding to fund award a contract for the processing of 515 EHCP applications plus additional capacity to clear the backlog of EHC needs assessments</w:t>
            </w:r>
          </w:p>
        </w:tc>
      </w:tr>
      <w:tr w:rsidR="00A20F86" w:rsidRPr="00A20F86" w14:paraId="2EEF692B" w14:textId="77777777" w:rsidTr="00697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Borders>
              <w:top w:val="single" w:sz="4" w:space="0" w:color="E40037"/>
              <w:left w:val="single" w:sz="4" w:space="0" w:color="E40037"/>
              <w:bottom w:val="single" w:sz="4" w:space="0" w:color="E40037"/>
              <w:right w:val="single" w:sz="4" w:space="0" w:color="E40037"/>
            </w:tcBorders>
          </w:tcPr>
          <w:p w14:paraId="0170516D" w14:textId="77777777" w:rsidR="00A20F86" w:rsidRPr="00A20F86" w:rsidRDefault="00A20F86" w:rsidP="00A20F86">
            <w:pPr>
              <w:spacing w:line="259" w:lineRule="auto"/>
              <w:rPr>
                <w:rFonts w:ascii="Arial" w:eastAsia="Calibri" w:hAnsi="Arial" w:cs="Arial"/>
                <w:szCs w:val="22"/>
              </w:rPr>
            </w:pPr>
            <w:r w:rsidRPr="00A20F86">
              <w:rPr>
                <w:rFonts w:ascii="Arial" w:eastAsia="Calibri" w:hAnsi="Arial" w:cs="Arial"/>
                <w:szCs w:val="22"/>
              </w:rPr>
              <w:t>Total</w:t>
            </w:r>
          </w:p>
        </w:tc>
        <w:tc>
          <w:tcPr>
            <w:tcW w:w="1514" w:type="dxa"/>
            <w:tcBorders>
              <w:top w:val="single" w:sz="4" w:space="0" w:color="E40037"/>
              <w:left w:val="single" w:sz="4" w:space="0" w:color="E40037"/>
              <w:bottom w:val="single" w:sz="4" w:space="0" w:color="E40037"/>
              <w:right w:val="single" w:sz="4" w:space="0" w:color="E40037"/>
            </w:tcBorders>
          </w:tcPr>
          <w:p w14:paraId="4CF0806A" w14:textId="77777777" w:rsidR="00A20F86" w:rsidRPr="00A20F86" w:rsidRDefault="00A20F86" w:rsidP="00A20F86">
            <w:pPr>
              <w:spacing w:line="259" w:lineRule="auto"/>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b/>
                <w:szCs w:val="22"/>
              </w:rPr>
            </w:pPr>
            <w:r w:rsidRPr="00A20F86">
              <w:rPr>
                <w:rFonts w:ascii="Arial" w:eastAsia="Calibri" w:hAnsi="Arial" w:cs="Arial"/>
                <w:b/>
                <w:szCs w:val="22"/>
              </w:rPr>
              <w:t>16,426</w:t>
            </w:r>
          </w:p>
        </w:tc>
        <w:tc>
          <w:tcPr>
            <w:tcW w:w="4240" w:type="dxa"/>
            <w:tcBorders>
              <w:top w:val="single" w:sz="4" w:space="0" w:color="E40037"/>
              <w:left w:val="single" w:sz="4" w:space="0" w:color="E40037"/>
              <w:bottom w:val="single" w:sz="4" w:space="0" w:color="E40037"/>
              <w:right w:val="single" w:sz="4" w:space="0" w:color="E40037"/>
            </w:tcBorders>
          </w:tcPr>
          <w:p w14:paraId="417B36BB" w14:textId="77777777" w:rsidR="00A20F86" w:rsidRPr="00A20F86" w:rsidRDefault="00A20F86" w:rsidP="00A20F86">
            <w:pPr>
              <w:spacing w:line="259"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bCs/>
                <w:szCs w:val="22"/>
              </w:rPr>
            </w:pPr>
          </w:p>
        </w:tc>
      </w:tr>
    </w:tbl>
    <w:p w14:paraId="3FFAC61B" w14:textId="77777777" w:rsidR="00A20F86" w:rsidRPr="00A20F86" w:rsidRDefault="00A20F86" w:rsidP="00A20F86">
      <w:pPr>
        <w:spacing w:after="0" w:line="240" w:lineRule="auto"/>
        <w:rPr>
          <w:rFonts w:ascii="Arial" w:eastAsia="Times New Roman" w:hAnsi="Arial" w:cs="Times New Roman"/>
          <w:b/>
          <w:kern w:val="0"/>
          <w:lang w:eastAsia="en-GB"/>
          <w14:ligatures w14:val="none"/>
        </w:rPr>
      </w:pPr>
    </w:p>
    <w:p w14:paraId="128ED6CC" w14:textId="77777777" w:rsidR="00A20F86" w:rsidRPr="00A20F86" w:rsidRDefault="00A20F86" w:rsidP="00A20F86">
      <w:pPr>
        <w:spacing w:after="0" w:line="240" w:lineRule="auto"/>
        <w:rPr>
          <w:rFonts w:ascii="Arial" w:eastAsia="Times New Roman" w:hAnsi="Arial" w:cs="Times New Roman"/>
          <w:bCs/>
          <w:kern w:val="0"/>
          <w:lang w:eastAsia="en-GB"/>
          <w14:ligatures w14:val="none"/>
        </w:rPr>
      </w:pPr>
      <w:r w:rsidRPr="00A20F86">
        <w:rPr>
          <w:rFonts w:ascii="Arial" w:eastAsia="Times New Roman" w:hAnsi="Arial" w:cs="Times New Roman"/>
          <w:b/>
          <w:kern w:val="0"/>
          <w:lang w:eastAsia="en-GB"/>
          <w14:ligatures w14:val="none"/>
        </w:rPr>
        <w:t>11</w:t>
      </w:r>
      <w:r w:rsidRPr="00A20F86">
        <w:rPr>
          <w:rFonts w:ascii="Arial" w:eastAsia="Times New Roman" w:hAnsi="Arial" w:cs="Times New Roman"/>
          <w:b/>
          <w:kern w:val="0"/>
          <w:lang w:eastAsia="en-GB"/>
          <w14:ligatures w14:val="none"/>
        </w:rPr>
        <w:tab/>
        <w:t>SEND Reform and Experts at Hand</w:t>
      </w:r>
    </w:p>
    <w:p w14:paraId="0CD3138C" w14:textId="77777777" w:rsidR="00A20F86" w:rsidRPr="00A20F86" w:rsidRDefault="00A20F86" w:rsidP="00A20F86">
      <w:pPr>
        <w:spacing w:after="0" w:line="240" w:lineRule="auto"/>
        <w:rPr>
          <w:rFonts w:ascii="Arial" w:eastAsia="Times New Roman" w:hAnsi="Arial" w:cs="Times New Roman"/>
          <w:bCs/>
          <w:kern w:val="0"/>
          <w:lang w:eastAsia="en-GB"/>
          <w14:ligatures w14:val="none"/>
        </w:rPr>
      </w:pPr>
    </w:p>
    <w:p w14:paraId="18A1A79F" w14:textId="77777777" w:rsidR="00A20F86" w:rsidRPr="00A20F86" w:rsidRDefault="00A20F86" w:rsidP="00A20F86">
      <w:pPr>
        <w:spacing w:after="0" w:line="300" w:lineRule="atLeast"/>
        <w:ind w:left="720" w:hanging="720"/>
        <w:jc w:val="both"/>
        <w:rPr>
          <w:rFonts w:ascii="Arial" w:eastAsia="Times New Roman" w:hAnsi="Arial" w:cs="Times New Roman"/>
          <w:kern w:val="0"/>
          <w:lang w:eastAsia="en-GB"/>
          <w14:ligatures w14:val="none"/>
        </w:rPr>
      </w:pPr>
      <w:r w:rsidRPr="00A20F86">
        <w:rPr>
          <w:rFonts w:ascii="Arial" w:eastAsia="Times New Roman" w:hAnsi="Arial" w:cs="Times New Roman"/>
          <w:bCs/>
          <w:kern w:val="0"/>
          <w:lang w:eastAsia="en-GB"/>
          <w14:ligatures w14:val="none"/>
        </w:rPr>
        <w:t>11.1</w:t>
      </w:r>
      <w:r w:rsidRPr="00A20F86">
        <w:rPr>
          <w:rFonts w:ascii="Arial" w:eastAsia="Times New Roman" w:hAnsi="Arial" w:cs="Times New Roman"/>
          <w:bCs/>
          <w:kern w:val="0"/>
          <w:lang w:eastAsia="en-GB"/>
          <w14:ligatures w14:val="none"/>
        </w:rPr>
        <w:tab/>
      </w:r>
      <w:r w:rsidRPr="00A20F86">
        <w:rPr>
          <w:rFonts w:ascii="Arial" w:eastAsia="Times New Roman" w:hAnsi="Arial" w:cs="Times New Roman"/>
          <w:kern w:val="0"/>
          <w:lang w:eastAsia="en-GB"/>
          <w14:ligatures w14:val="none"/>
        </w:rPr>
        <w:t xml:space="preserve">Following the issue of the SEND white paper Essex has been allocated £11 million of revenue funding in 2026/27 through the Experts at Hand and Transformation Grant from the Department for Education, alongside £21 million of capital funding to increase local SEND provision and strengthen inclusion within mainstream settings. </w:t>
      </w:r>
    </w:p>
    <w:p w14:paraId="0CA8365D" w14:textId="77777777" w:rsidR="00A20F86" w:rsidRPr="00A20F86" w:rsidRDefault="00A20F86" w:rsidP="00A20F86">
      <w:pPr>
        <w:spacing w:after="0" w:line="300" w:lineRule="atLeast"/>
        <w:ind w:left="720" w:hanging="720"/>
        <w:jc w:val="both"/>
        <w:rPr>
          <w:rFonts w:ascii="Arial" w:eastAsia="Times New Roman" w:hAnsi="Arial" w:cs="Times New Roman"/>
          <w:kern w:val="0"/>
          <w:lang w:eastAsia="en-GB"/>
          <w14:ligatures w14:val="none"/>
        </w:rPr>
      </w:pPr>
    </w:p>
    <w:p w14:paraId="2C3A38B8" w14:textId="77777777" w:rsidR="00A20F86" w:rsidRPr="00A20F86" w:rsidRDefault="00A20F86" w:rsidP="00A20F86">
      <w:pPr>
        <w:spacing w:after="0" w:line="300" w:lineRule="atLeast"/>
        <w:ind w:left="720" w:hanging="720"/>
        <w:jc w:val="both"/>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11.2</w:t>
      </w:r>
      <w:r w:rsidRPr="00A20F86">
        <w:rPr>
          <w:rFonts w:ascii="Arial" w:eastAsia="Times New Roman" w:hAnsi="Arial" w:cs="Times New Roman"/>
          <w:kern w:val="0"/>
          <w:lang w:eastAsia="en-GB"/>
          <w14:ligatures w14:val="none"/>
        </w:rPr>
        <w:tab/>
        <w:t>The Experts at Hand grant will support the delivery of a countywide model designed to strengthen inclusion in mainstream schools through earlier intervention, specialist outreach and advice, enhanced workforce capacity, and improved access to targeted support. This investment will enable Essex to reduce reliance on specialist provision where appropriate, improve outcomes for children and young people with SEND, and deliver the priorities set out in the Essex SEND Reform Plan</w:t>
      </w:r>
      <w:r w:rsidRPr="00A20F86">
        <w:rPr>
          <w:rFonts w:ascii="Segoe UI" w:eastAsia="Times New Roman" w:hAnsi="Segoe UI" w:cs="Segoe UI"/>
          <w:kern w:val="0"/>
          <w:sz w:val="21"/>
          <w:szCs w:val="21"/>
          <w:lang w:eastAsia="en-GB"/>
          <w14:ligatures w14:val="none"/>
        </w:rPr>
        <w:t>.</w:t>
      </w:r>
    </w:p>
    <w:p w14:paraId="509EC7C1" w14:textId="77777777" w:rsidR="00A20F86" w:rsidRPr="00A20F86" w:rsidRDefault="00A20F86" w:rsidP="00A20F86">
      <w:pPr>
        <w:spacing w:after="0" w:line="300" w:lineRule="atLeast"/>
        <w:ind w:left="720" w:hanging="720"/>
        <w:jc w:val="both"/>
        <w:rPr>
          <w:rFonts w:ascii="Segoe UI" w:eastAsia="Times New Roman" w:hAnsi="Segoe UI" w:cs="Segoe UI"/>
          <w:kern w:val="0"/>
          <w:sz w:val="21"/>
          <w:szCs w:val="21"/>
          <w:lang w:eastAsia="en-GB"/>
          <w14:ligatures w14:val="none"/>
        </w:rPr>
      </w:pPr>
    </w:p>
    <w:p w14:paraId="766219F1" w14:textId="77777777" w:rsidR="00A20F86" w:rsidRPr="00A20F86" w:rsidRDefault="00A20F86" w:rsidP="00A20F86">
      <w:pPr>
        <w:spacing w:after="0" w:line="240" w:lineRule="auto"/>
        <w:ind w:left="567" w:hanging="567"/>
        <w:jc w:val="both"/>
        <w:rPr>
          <w:rFonts w:ascii="Arial" w:eastAsia="Times New Roman" w:hAnsi="Arial" w:cs="Times New Roman"/>
          <w:iCs/>
          <w:kern w:val="0"/>
          <w:lang w:eastAsia="en-GB"/>
          <w14:ligatures w14:val="none"/>
        </w:rPr>
      </w:pPr>
      <w:r w:rsidRPr="00A20F86">
        <w:rPr>
          <w:rFonts w:ascii="Arial" w:eastAsia="Times New Roman" w:hAnsi="Arial" w:cs="Arial"/>
          <w:kern w:val="0"/>
          <w:sz w:val="22"/>
          <w:szCs w:val="22"/>
          <w:lang w:eastAsia="en-GB"/>
          <w14:ligatures w14:val="none"/>
        </w:rPr>
        <w:t>11.3</w:t>
      </w:r>
      <w:r w:rsidRPr="00A20F86">
        <w:rPr>
          <w:rFonts w:ascii="Segoe UI" w:eastAsia="Times New Roman" w:hAnsi="Segoe UI" w:cs="Segoe UI"/>
          <w:kern w:val="0"/>
          <w:sz w:val="21"/>
          <w:szCs w:val="21"/>
          <w:lang w:eastAsia="en-GB"/>
          <w14:ligatures w14:val="none"/>
        </w:rPr>
        <w:tab/>
      </w:r>
      <w:r w:rsidRPr="00A20F86">
        <w:rPr>
          <w:rFonts w:ascii="Arial" w:eastAsia="Times New Roman" w:hAnsi="Arial" w:cs="Times New Roman"/>
          <w:iCs/>
          <w:kern w:val="0"/>
          <w:lang w:eastAsia="en-GB"/>
          <w14:ligatures w14:val="none"/>
        </w:rPr>
        <w:t>The 2026/27 programme focuses on establishing the core components of reform, including:</w:t>
      </w:r>
    </w:p>
    <w:p w14:paraId="2C8A22CB" w14:textId="77777777" w:rsidR="00A20F86" w:rsidRPr="00A20F86" w:rsidRDefault="00A20F86" w:rsidP="00A20F86">
      <w:pPr>
        <w:numPr>
          <w:ilvl w:val="0"/>
          <w:numId w:val="4"/>
        </w:numPr>
        <w:spacing w:after="0" w:line="240" w:lineRule="auto"/>
        <w:contextualSpacing/>
        <w:jc w:val="both"/>
        <w:rPr>
          <w:rFonts w:ascii="Arial" w:eastAsia="Times New Roman" w:hAnsi="Arial" w:cs="Times New Roman"/>
          <w:iCs/>
          <w:kern w:val="0"/>
          <w:lang w:eastAsia="en-GB"/>
          <w14:ligatures w14:val="none"/>
        </w:rPr>
      </w:pPr>
      <w:r w:rsidRPr="00A20F86">
        <w:rPr>
          <w:rFonts w:ascii="Arial" w:eastAsia="Times New Roman" w:hAnsi="Arial" w:cs="Times New Roman"/>
          <w:iCs/>
          <w:kern w:val="0"/>
          <w:lang w:eastAsia="en-GB"/>
          <w14:ligatures w14:val="none"/>
        </w:rPr>
        <w:t>Strengthening Mainstream Inclusion</w:t>
      </w:r>
    </w:p>
    <w:p w14:paraId="4A65A37B" w14:textId="77777777" w:rsidR="00A20F86" w:rsidRPr="00A20F86" w:rsidRDefault="00A20F86" w:rsidP="00A20F86">
      <w:pPr>
        <w:numPr>
          <w:ilvl w:val="0"/>
          <w:numId w:val="4"/>
        </w:numPr>
        <w:spacing w:after="0" w:line="240" w:lineRule="auto"/>
        <w:contextualSpacing/>
        <w:jc w:val="both"/>
        <w:rPr>
          <w:rFonts w:ascii="Arial" w:eastAsia="Times New Roman" w:hAnsi="Arial" w:cs="Times New Roman"/>
          <w:iCs/>
          <w:kern w:val="0"/>
          <w:lang w:eastAsia="en-GB"/>
          <w14:ligatures w14:val="none"/>
        </w:rPr>
      </w:pPr>
      <w:r w:rsidRPr="00A20F86">
        <w:rPr>
          <w:rFonts w:ascii="Arial" w:eastAsia="Times New Roman" w:hAnsi="Arial" w:cs="Times New Roman"/>
          <w:iCs/>
          <w:kern w:val="0"/>
          <w:lang w:eastAsia="en-GB"/>
          <w14:ligatures w14:val="none"/>
        </w:rPr>
        <w:t>Access to Specialist Support and Local Placements</w:t>
      </w:r>
    </w:p>
    <w:p w14:paraId="383D8871" w14:textId="77777777" w:rsidR="00A20F86" w:rsidRPr="00A20F86" w:rsidRDefault="00A20F86" w:rsidP="00A20F86">
      <w:pPr>
        <w:numPr>
          <w:ilvl w:val="0"/>
          <w:numId w:val="4"/>
        </w:numPr>
        <w:spacing w:after="0" w:line="240" w:lineRule="auto"/>
        <w:contextualSpacing/>
        <w:jc w:val="both"/>
        <w:rPr>
          <w:rFonts w:ascii="Arial" w:eastAsia="Times New Roman" w:hAnsi="Arial" w:cs="Times New Roman"/>
          <w:iCs/>
          <w:kern w:val="0"/>
          <w:lang w:eastAsia="en-GB"/>
          <w14:ligatures w14:val="none"/>
        </w:rPr>
      </w:pPr>
      <w:r w:rsidRPr="00A20F86">
        <w:rPr>
          <w:rFonts w:ascii="Arial" w:eastAsia="Times New Roman" w:hAnsi="Arial" w:cs="Times New Roman"/>
          <w:iCs/>
          <w:kern w:val="0"/>
          <w:lang w:eastAsia="en-GB"/>
          <w14:ligatures w14:val="none"/>
        </w:rPr>
        <w:t>System leadership, collaboration and coproduction</w:t>
      </w:r>
    </w:p>
    <w:p w14:paraId="2BA819F7" w14:textId="77777777" w:rsidR="00A20F86" w:rsidRPr="00A20F86" w:rsidRDefault="00A20F86" w:rsidP="00A20F86">
      <w:pPr>
        <w:numPr>
          <w:ilvl w:val="0"/>
          <w:numId w:val="4"/>
        </w:numPr>
        <w:spacing w:after="0" w:line="240" w:lineRule="auto"/>
        <w:contextualSpacing/>
        <w:jc w:val="both"/>
        <w:rPr>
          <w:rFonts w:ascii="Arial" w:eastAsia="Times New Roman" w:hAnsi="Arial" w:cs="Times New Roman"/>
          <w:iCs/>
          <w:kern w:val="0"/>
          <w:lang w:eastAsia="en-GB"/>
          <w14:ligatures w14:val="none"/>
        </w:rPr>
      </w:pPr>
      <w:r w:rsidRPr="00A20F86">
        <w:rPr>
          <w:rFonts w:ascii="Arial" w:eastAsia="Times New Roman" w:hAnsi="Arial" w:cs="Times New Roman"/>
          <w:iCs/>
          <w:kern w:val="0"/>
          <w:lang w:eastAsia="en-GB"/>
          <w14:ligatures w14:val="none"/>
        </w:rPr>
        <w:t>Culture and workforce</w:t>
      </w:r>
    </w:p>
    <w:p w14:paraId="6AF8D412" w14:textId="77777777" w:rsidR="00A20F86" w:rsidRPr="00A20F86" w:rsidRDefault="00A20F86" w:rsidP="00A20F86">
      <w:pPr>
        <w:spacing w:after="0" w:line="240" w:lineRule="auto"/>
        <w:jc w:val="both"/>
        <w:rPr>
          <w:rFonts w:ascii="Arial" w:eastAsia="Times New Roman" w:hAnsi="Arial" w:cs="Times New Roman"/>
          <w:iCs/>
          <w:kern w:val="0"/>
          <w:lang w:eastAsia="en-GB"/>
          <w14:ligatures w14:val="none"/>
        </w:rPr>
      </w:pPr>
    </w:p>
    <w:p w14:paraId="66ECB158" w14:textId="77777777" w:rsidR="00A20F86" w:rsidRPr="00A20F86" w:rsidRDefault="00A20F86" w:rsidP="00A20F86">
      <w:pPr>
        <w:spacing w:after="0" w:line="240" w:lineRule="auto"/>
        <w:ind w:left="567" w:hanging="567"/>
        <w:jc w:val="both"/>
        <w:rPr>
          <w:rFonts w:ascii="Arial" w:eastAsia="Times New Roman" w:hAnsi="Arial" w:cs="Times New Roman"/>
          <w:iCs/>
          <w:kern w:val="0"/>
          <w:lang w:eastAsia="en-GB"/>
          <w14:ligatures w14:val="none"/>
        </w:rPr>
      </w:pPr>
      <w:r w:rsidRPr="00A20F86">
        <w:rPr>
          <w:rFonts w:ascii="Arial" w:eastAsia="Times New Roman" w:hAnsi="Arial" w:cs="Times New Roman"/>
          <w:iCs/>
          <w:kern w:val="0"/>
          <w:lang w:eastAsia="en-GB"/>
          <w14:ligatures w14:val="none"/>
        </w:rPr>
        <w:t>11.4</w:t>
      </w:r>
      <w:r w:rsidRPr="00A20F86">
        <w:rPr>
          <w:rFonts w:ascii="Arial" w:eastAsia="Times New Roman" w:hAnsi="Arial" w:cs="Times New Roman"/>
          <w:iCs/>
          <w:kern w:val="0"/>
          <w:lang w:eastAsia="en-GB"/>
          <w14:ligatures w14:val="none"/>
        </w:rPr>
        <w:tab/>
        <w:t xml:space="preserve">It is to be noted that a key condition of the Experts at Hand grant is that it cannot be used to fund existing service but to build on and develop the local SEND system. </w:t>
      </w:r>
    </w:p>
    <w:p w14:paraId="215C7215" w14:textId="77777777"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p>
    <w:p w14:paraId="51318DAA" w14:textId="77777777" w:rsidR="00A20F86" w:rsidRDefault="00A20F86" w:rsidP="00A20F86">
      <w:pPr>
        <w:spacing w:after="0" w:line="240" w:lineRule="auto"/>
        <w:ind w:left="567" w:hanging="567"/>
        <w:rPr>
          <w:rFonts w:ascii="Arial" w:eastAsia="Times New Roman" w:hAnsi="Arial" w:cs="Times New Roman"/>
          <w:b/>
          <w:kern w:val="0"/>
          <w:lang w:eastAsia="en-GB"/>
          <w14:ligatures w14:val="none"/>
        </w:rPr>
      </w:pPr>
    </w:p>
    <w:p w14:paraId="729165CB" w14:textId="15FE2080" w:rsidR="00A20F86" w:rsidRPr="00A20F86" w:rsidRDefault="00A20F86" w:rsidP="00A20F86">
      <w:pPr>
        <w:spacing w:after="0" w:line="240" w:lineRule="auto"/>
        <w:ind w:left="567" w:hanging="567"/>
        <w:rPr>
          <w:rFonts w:ascii="Arial" w:eastAsia="Times New Roman" w:hAnsi="Arial" w:cs="Times New Roman"/>
          <w:bCs/>
          <w:kern w:val="0"/>
          <w:lang w:eastAsia="en-GB"/>
          <w14:ligatures w14:val="none"/>
        </w:rPr>
      </w:pPr>
      <w:r w:rsidRPr="00A20F86">
        <w:rPr>
          <w:rFonts w:ascii="Arial" w:eastAsia="Times New Roman" w:hAnsi="Arial" w:cs="Times New Roman"/>
          <w:b/>
          <w:kern w:val="0"/>
          <w:lang w:eastAsia="en-GB"/>
          <w14:ligatures w14:val="none"/>
        </w:rPr>
        <w:lastRenderedPageBreak/>
        <w:t>12</w:t>
      </w:r>
      <w:r w:rsidRPr="00A20F86">
        <w:rPr>
          <w:rFonts w:ascii="Arial" w:eastAsia="Times New Roman" w:hAnsi="Arial" w:cs="Times New Roman"/>
          <w:b/>
          <w:kern w:val="0"/>
          <w:lang w:eastAsia="en-GB"/>
          <w14:ligatures w14:val="none"/>
        </w:rPr>
        <w:tab/>
        <w:t>Timeline to Setting School Budgets</w:t>
      </w:r>
    </w:p>
    <w:p w14:paraId="4EFB189A" w14:textId="77777777" w:rsidR="00A20F86" w:rsidRPr="00A20F86" w:rsidRDefault="00A20F86" w:rsidP="00A20F86">
      <w:pPr>
        <w:spacing w:after="0" w:line="240" w:lineRule="auto"/>
        <w:rPr>
          <w:rFonts w:ascii="Arial" w:eastAsia="Times New Roman" w:hAnsi="Arial" w:cs="Times New Roman"/>
          <w:bCs/>
          <w:kern w:val="0"/>
          <w:lang w:eastAsia="en-GB"/>
          <w14:ligatures w14:val="none"/>
        </w:rPr>
      </w:pPr>
    </w:p>
    <w:p w14:paraId="11EBAF87"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12.1</w:t>
      </w:r>
      <w:r w:rsidRPr="00A20F86">
        <w:rPr>
          <w:rFonts w:ascii="Arial" w:eastAsia="Times New Roman" w:hAnsi="Arial" w:cs="Times New Roman"/>
          <w:kern w:val="0"/>
          <w:lang w:eastAsia="en-GB"/>
          <w14:ligatures w14:val="none"/>
        </w:rPr>
        <w:tab/>
        <w:t>Schools Forum are recommended to support the request to transfer 1.0% from the schools block to the high needs block.</w:t>
      </w:r>
    </w:p>
    <w:p w14:paraId="19B990E2"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7EF7E279"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12.2</w:t>
      </w:r>
      <w:r w:rsidRPr="00A20F86">
        <w:rPr>
          <w:rFonts w:ascii="Arial" w:eastAsia="Times New Roman" w:hAnsi="Arial" w:cs="Times New Roman"/>
          <w:kern w:val="0"/>
          <w:lang w:eastAsia="en-GB"/>
          <w14:ligatures w14:val="none"/>
        </w:rPr>
        <w:tab/>
        <w:t>Consultation will be held with schools between Thursday 1</w:t>
      </w:r>
      <w:r w:rsidRPr="00A20F86">
        <w:rPr>
          <w:rFonts w:ascii="Arial" w:eastAsia="Times New Roman" w:hAnsi="Arial" w:cs="Times New Roman"/>
          <w:kern w:val="0"/>
          <w:vertAlign w:val="superscript"/>
          <w:lang w:eastAsia="en-GB"/>
          <w14:ligatures w14:val="none"/>
        </w:rPr>
        <w:t>st</w:t>
      </w:r>
      <w:r w:rsidRPr="00A20F86">
        <w:rPr>
          <w:rFonts w:ascii="Arial" w:eastAsia="Times New Roman" w:hAnsi="Arial" w:cs="Times New Roman"/>
          <w:kern w:val="0"/>
          <w:lang w:eastAsia="en-GB"/>
          <w14:ligatures w14:val="none"/>
        </w:rPr>
        <w:t xml:space="preserve"> October and Tuesday 3</w:t>
      </w:r>
      <w:r w:rsidRPr="00A20F86">
        <w:rPr>
          <w:rFonts w:ascii="Arial" w:eastAsia="Times New Roman" w:hAnsi="Arial" w:cs="Times New Roman"/>
          <w:kern w:val="0"/>
          <w:vertAlign w:val="superscript"/>
          <w:lang w:eastAsia="en-GB"/>
          <w14:ligatures w14:val="none"/>
        </w:rPr>
        <w:t>rd</w:t>
      </w:r>
      <w:r w:rsidRPr="00A20F86">
        <w:rPr>
          <w:rFonts w:ascii="Arial" w:eastAsia="Times New Roman" w:hAnsi="Arial" w:cs="Times New Roman"/>
          <w:kern w:val="0"/>
          <w:lang w:eastAsia="en-GB"/>
          <w14:ligatures w14:val="none"/>
        </w:rPr>
        <w:t xml:space="preserve"> November.</w:t>
      </w:r>
    </w:p>
    <w:p w14:paraId="06B83AE4"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64B7E4EA"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12.3</w:t>
      </w:r>
      <w:r w:rsidRPr="00A20F86">
        <w:rPr>
          <w:rFonts w:ascii="Arial" w:eastAsia="Times New Roman" w:hAnsi="Arial" w:cs="Times New Roman"/>
          <w:kern w:val="0"/>
          <w:lang w:eastAsia="en-GB"/>
          <w14:ligatures w14:val="none"/>
        </w:rPr>
        <w:tab/>
        <w:t>Results of the consultation will be presented to a joint FRG and HNRG on 10</w:t>
      </w:r>
      <w:r w:rsidRPr="00A20F86">
        <w:rPr>
          <w:rFonts w:ascii="Arial" w:eastAsia="Times New Roman" w:hAnsi="Arial" w:cs="Times New Roman"/>
          <w:kern w:val="0"/>
          <w:vertAlign w:val="superscript"/>
          <w:lang w:eastAsia="en-GB"/>
          <w14:ligatures w14:val="none"/>
        </w:rPr>
        <w:t>th</w:t>
      </w:r>
      <w:r w:rsidRPr="00A20F86">
        <w:rPr>
          <w:rFonts w:ascii="Arial" w:eastAsia="Times New Roman" w:hAnsi="Arial" w:cs="Times New Roman"/>
          <w:kern w:val="0"/>
          <w:lang w:eastAsia="en-GB"/>
          <w14:ligatures w14:val="none"/>
        </w:rPr>
        <w:t xml:space="preserve"> November where the outcome of the consultation will be discussed along with the recommendations to take to Schools Forum.</w:t>
      </w:r>
    </w:p>
    <w:p w14:paraId="7DD5C5A9"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0D0CF0BD"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12.4</w:t>
      </w:r>
      <w:r w:rsidRPr="00A20F86">
        <w:rPr>
          <w:rFonts w:ascii="Arial" w:eastAsia="Times New Roman" w:hAnsi="Arial" w:cs="Times New Roman"/>
          <w:kern w:val="0"/>
          <w:lang w:eastAsia="en-GB"/>
          <w14:ligatures w14:val="none"/>
        </w:rPr>
        <w:tab/>
        <w:t>Schools Forum will be presented with the results of the consultation and the outcome of the discussion on 10</w:t>
      </w:r>
      <w:r w:rsidRPr="00A20F86">
        <w:rPr>
          <w:rFonts w:ascii="Arial" w:eastAsia="Times New Roman" w:hAnsi="Arial" w:cs="Times New Roman"/>
          <w:kern w:val="0"/>
          <w:vertAlign w:val="superscript"/>
          <w:lang w:eastAsia="en-GB"/>
          <w14:ligatures w14:val="none"/>
        </w:rPr>
        <w:t>th</w:t>
      </w:r>
      <w:r w:rsidRPr="00A20F86">
        <w:rPr>
          <w:rFonts w:ascii="Arial" w:eastAsia="Times New Roman" w:hAnsi="Arial" w:cs="Times New Roman"/>
          <w:kern w:val="0"/>
          <w:lang w:eastAsia="en-GB"/>
          <w14:ligatures w14:val="none"/>
        </w:rPr>
        <w:t xml:space="preserve"> November along with the recommendations of the FRG and HNRG. Schools Forum will then decide whether to support the transfer.</w:t>
      </w:r>
    </w:p>
    <w:p w14:paraId="447C3E61"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6D71E029"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12.5</w:t>
      </w:r>
      <w:r w:rsidRPr="00A20F86">
        <w:rPr>
          <w:rFonts w:ascii="Arial" w:eastAsia="Times New Roman" w:hAnsi="Arial" w:cs="Times New Roman"/>
          <w:kern w:val="0"/>
          <w:lang w:eastAsia="en-GB"/>
          <w14:ligatures w14:val="none"/>
        </w:rPr>
        <w:tab/>
      </w:r>
      <w:bookmarkStart w:id="0" w:name="_Hlk176788981"/>
      <w:r w:rsidRPr="00A20F86">
        <w:rPr>
          <w:rFonts w:ascii="Arial" w:eastAsia="Times New Roman" w:hAnsi="Arial" w:cs="Times New Roman"/>
          <w:kern w:val="0"/>
          <w:lang w:eastAsia="en-GB"/>
          <w14:ligatures w14:val="none"/>
        </w:rPr>
        <w:t xml:space="preserve">Any disapplication request will be submitted to the Secretary of State </w:t>
      </w:r>
      <w:bookmarkEnd w:id="0"/>
      <w:r w:rsidRPr="00A20F86">
        <w:rPr>
          <w:rFonts w:ascii="Arial" w:eastAsia="Times New Roman" w:hAnsi="Arial" w:cs="Times New Roman"/>
          <w:kern w:val="0"/>
          <w:lang w:eastAsia="en-GB"/>
          <w14:ligatures w14:val="none"/>
        </w:rPr>
        <w:t>by the deadline of 16</w:t>
      </w:r>
      <w:r w:rsidRPr="00A20F86">
        <w:rPr>
          <w:rFonts w:ascii="Arial" w:eastAsia="Times New Roman" w:hAnsi="Arial" w:cs="Times New Roman"/>
          <w:kern w:val="0"/>
          <w:vertAlign w:val="superscript"/>
          <w:lang w:eastAsia="en-GB"/>
          <w14:ligatures w14:val="none"/>
        </w:rPr>
        <w:t>th</w:t>
      </w:r>
      <w:r w:rsidRPr="00A20F86">
        <w:rPr>
          <w:rFonts w:ascii="Arial" w:eastAsia="Times New Roman" w:hAnsi="Arial" w:cs="Times New Roman"/>
          <w:kern w:val="0"/>
          <w:lang w:eastAsia="en-GB"/>
          <w14:ligatures w14:val="none"/>
        </w:rPr>
        <w:t xml:space="preserve"> November. The disapplication will be updated after Schools Forum to update the outcome of Schools Forum’s decision.</w:t>
      </w:r>
    </w:p>
    <w:p w14:paraId="44B16554"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648918A9"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12.6</w:t>
      </w:r>
      <w:r w:rsidRPr="00A20F86">
        <w:rPr>
          <w:rFonts w:ascii="Arial" w:eastAsia="Times New Roman" w:hAnsi="Arial" w:cs="Times New Roman"/>
          <w:kern w:val="0"/>
          <w:lang w:eastAsia="en-GB"/>
          <w14:ligatures w14:val="none"/>
        </w:rPr>
        <w:tab/>
        <w:t>DSG final settlement expected week commencing 14 December.</w:t>
      </w:r>
    </w:p>
    <w:p w14:paraId="7A8400BB"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351CF102"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12.7</w:t>
      </w:r>
      <w:r w:rsidRPr="00A20F86">
        <w:rPr>
          <w:rFonts w:ascii="Arial" w:eastAsia="Times New Roman" w:hAnsi="Arial" w:cs="Times New Roman"/>
          <w:kern w:val="0"/>
          <w:lang w:eastAsia="en-GB"/>
          <w14:ligatures w14:val="none"/>
        </w:rPr>
        <w:tab/>
        <w:t>The DSG budget for 2027/28 will be presented to Schools Forum at the January meeting.</w:t>
      </w:r>
    </w:p>
    <w:p w14:paraId="7E7D786A" w14:textId="77777777" w:rsidR="00A20F86" w:rsidRPr="00A20F86" w:rsidRDefault="00A20F86" w:rsidP="00A20F86">
      <w:pPr>
        <w:spacing w:after="0" w:line="240" w:lineRule="auto"/>
        <w:ind w:left="567" w:hanging="567"/>
        <w:rPr>
          <w:rFonts w:ascii="Arial" w:eastAsia="Times New Roman" w:hAnsi="Arial" w:cs="Times New Roman"/>
          <w:b/>
          <w:bCs/>
          <w:kern w:val="0"/>
          <w:lang w:eastAsia="en-GB"/>
          <w14:ligatures w14:val="none"/>
        </w:rPr>
      </w:pPr>
    </w:p>
    <w:p w14:paraId="2E817B29"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b/>
          <w:bCs/>
          <w:kern w:val="0"/>
          <w:lang w:eastAsia="en-GB"/>
          <w14:ligatures w14:val="none"/>
        </w:rPr>
        <w:t>13.</w:t>
      </w:r>
      <w:r w:rsidRPr="00A20F86">
        <w:rPr>
          <w:rFonts w:ascii="Arial" w:eastAsia="Times New Roman" w:hAnsi="Arial" w:cs="Times New Roman"/>
          <w:b/>
          <w:bCs/>
          <w:kern w:val="0"/>
          <w:lang w:eastAsia="en-GB"/>
          <w14:ligatures w14:val="none"/>
        </w:rPr>
        <w:tab/>
        <w:t>Further Information</w:t>
      </w:r>
    </w:p>
    <w:p w14:paraId="385EA917"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22899EFD"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13.1</w:t>
      </w:r>
      <w:r w:rsidRPr="00A20F86">
        <w:rPr>
          <w:rFonts w:ascii="Arial" w:eastAsia="Times New Roman" w:hAnsi="Arial" w:cs="Times New Roman"/>
          <w:kern w:val="0"/>
          <w:lang w:eastAsia="en-GB"/>
          <w14:ligatures w14:val="none"/>
        </w:rPr>
        <w:tab/>
        <w:t>Annex A – Proposed consultation document</w:t>
      </w:r>
    </w:p>
    <w:p w14:paraId="14A51C44"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p>
    <w:p w14:paraId="1D3A13B4" w14:textId="77777777" w:rsidR="00A20F86" w:rsidRPr="00A20F86" w:rsidRDefault="00A20F86" w:rsidP="00A20F86">
      <w:pPr>
        <w:spacing w:after="0" w:line="240" w:lineRule="auto"/>
        <w:ind w:left="567" w:hanging="567"/>
        <w:rPr>
          <w:rFonts w:ascii="Arial" w:eastAsia="Times New Roman" w:hAnsi="Arial" w:cs="Times New Roman"/>
          <w:kern w:val="0"/>
          <w:lang w:eastAsia="en-GB"/>
          <w14:ligatures w14:val="none"/>
        </w:rPr>
      </w:pPr>
      <w:r w:rsidRPr="00A20F86">
        <w:rPr>
          <w:rFonts w:ascii="Arial" w:eastAsia="Times New Roman" w:hAnsi="Arial" w:cs="Times New Roman"/>
          <w:kern w:val="0"/>
          <w:lang w:eastAsia="en-GB"/>
          <w14:ligatures w14:val="none"/>
        </w:rPr>
        <w:t>13.2</w:t>
      </w:r>
      <w:r w:rsidRPr="00A20F86">
        <w:rPr>
          <w:rFonts w:ascii="Arial" w:eastAsia="Times New Roman" w:hAnsi="Arial" w:cs="Times New Roman"/>
          <w:kern w:val="0"/>
          <w:lang w:eastAsia="en-GB"/>
          <w14:ligatures w14:val="none"/>
        </w:rPr>
        <w:tab/>
        <w:t>Annex B – Finance Model</w:t>
      </w:r>
    </w:p>
    <w:p w14:paraId="09386F7C" w14:textId="77777777" w:rsidR="00961A2A" w:rsidRDefault="00961A2A"/>
    <w:sectPr w:rsidR="00961A2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C36E5" w14:textId="77777777" w:rsidR="005771C7" w:rsidRDefault="005771C7" w:rsidP="00A20F86">
      <w:pPr>
        <w:spacing w:after="0" w:line="240" w:lineRule="auto"/>
      </w:pPr>
      <w:r>
        <w:separator/>
      </w:r>
    </w:p>
  </w:endnote>
  <w:endnote w:type="continuationSeparator" w:id="0">
    <w:p w14:paraId="644DFE24" w14:textId="77777777" w:rsidR="005771C7" w:rsidRDefault="005771C7" w:rsidP="00A20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OpenSymbol">
    <w:altName w:val="Yu Gothic"/>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2F183" w14:textId="77777777" w:rsidR="005771C7" w:rsidRDefault="005771C7" w:rsidP="00A20F86">
      <w:pPr>
        <w:spacing w:after="0" w:line="240" w:lineRule="auto"/>
      </w:pPr>
      <w:r>
        <w:separator/>
      </w:r>
    </w:p>
  </w:footnote>
  <w:footnote w:type="continuationSeparator" w:id="0">
    <w:p w14:paraId="01AD1DBA" w14:textId="77777777" w:rsidR="005771C7" w:rsidRDefault="005771C7" w:rsidP="00A20F86">
      <w:pPr>
        <w:spacing w:after="0" w:line="240" w:lineRule="auto"/>
      </w:pPr>
      <w:r>
        <w:continuationSeparator/>
      </w:r>
    </w:p>
  </w:footnote>
  <w:footnote w:id="1">
    <w:p w14:paraId="501FA4D1" w14:textId="77777777" w:rsidR="00A20F86" w:rsidRPr="007E7D07" w:rsidRDefault="00A20F86" w:rsidP="00A20F86">
      <w:pPr>
        <w:pStyle w:val="FootnoteText"/>
        <w:rPr>
          <w:lang w:val="en-US"/>
        </w:rPr>
      </w:pPr>
      <w:r>
        <w:rPr>
          <w:rStyle w:val="FootnoteReference"/>
        </w:rPr>
        <w:footnoteRef/>
      </w:r>
      <w:r>
        <w:t xml:space="preserve"> </w:t>
      </w:r>
      <w:r>
        <w:rPr>
          <w:lang w:val="en-US"/>
        </w:rPr>
        <w:t>Estimated allocation – actual allocation based on October 2026 Schools Census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842E41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A379F1"/>
    <w:multiLevelType w:val="hybridMultilevel"/>
    <w:tmpl w:val="D4D216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DF313C"/>
    <w:multiLevelType w:val="multilevel"/>
    <w:tmpl w:val="EFCE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F7B46"/>
    <w:multiLevelType w:val="multilevel"/>
    <w:tmpl w:val="E56C1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B737E4"/>
    <w:multiLevelType w:val="hybridMultilevel"/>
    <w:tmpl w:val="C3A8AA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81661F4"/>
    <w:multiLevelType w:val="multilevel"/>
    <w:tmpl w:val="23FCD4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C63ECD"/>
    <w:multiLevelType w:val="hybridMultilevel"/>
    <w:tmpl w:val="DFE27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7E28D2"/>
    <w:multiLevelType w:val="hybridMultilevel"/>
    <w:tmpl w:val="BC2C75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F15091"/>
    <w:multiLevelType w:val="multilevel"/>
    <w:tmpl w:val="32122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5E1A19"/>
    <w:multiLevelType w:val="hybridMultilevel"/>
    <w:tmpl w:val="C5D2B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5D60B8"/>
    <w:multiLevelType w:val="hybridMultilevel"/>
    <w:tmpl w:val="B1B269E8"/>
    <w:lvl w:ilvl="0" w:tplc="4CC488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E71BD3"/>
    <w:multiLevelType w:val="multilevel"/>
    <w:tmpl w:val="25C2F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2D03A0"/>
    <w:multiLevelType w:val="multilevel"/>
    <w:tmpl w:val="8298A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AA1D3C"/>
    <w:multiLevelType w:val="hybridMultilevel"/>
    <w:tmpl w:val="969EB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C62BB5"/>
    <w:multiLevelType w:val="multilevel"/>
    <w:tmpl w:val="D634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E01239"/>
    <w:multiLevelType w:val="hybridMultilevel"/>
    <w:tmpl w:val="7172A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BB4C53"/>
    <w:multiLevelType w:val="multilevel"/>
    <w:tmpl w:val="854C3222"/>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6233C87"/>
    <w:multiLevelType w:val="hybridMultilevel"/>
    <w:tmpl w:val="2B525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8E6D3D"/>
    <w:multiLevelType w:val="hybridMultilevel"/>
    <w:tmpl w:val="AF64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49229A"/>
    <w:multiLevelType w:val="multilevel"/>
    <w:tmpl w:val="EF4031A4"/>
    <w:lvl w:ilvl="0">
      <w:start w:val="1"/>
      <w:numFmt w:val="decimal"/>
      <w:lvlText w:val="%1"/>
      <w:lvlJc w:val="left"/>
      <w:pPr>
        <w:ind w:left="570" w:hanging="570"/>
      </w:pPr>
      <w:rPr>
        <w:rFonts w:hint="default"/>
      </w:rPr>
    </w:lvl>
    <w:lvl w:ilvl="1">
      <w:start w:val="1"/>
      <w:numFmt w:val="decimal"/>
      <w:lvlText w:val="%1.%2"/>
      <w:lvlJc w:val="left"/>
      <w:pPr>
        <w:ind w:left="570" w:hanging="570"/>
      </w:pPr>
      <w:rPr>
        <w:rFonts w:ascii="Arial" w:hAnsi="Arial" w:cs="Arial"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C76634"/>
    <w:multiLevelType w:val="hybridMultilevel"/>
    <w:tmpl w:val="5FFC9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DA3A69"/>
    <w:multiLevelType w:val="hybridMultilevel"/>
    <w:tmpl w:val="2AF6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521B26"/>
    <w:multiLevelType w:val="multilevel"/>
    <w:tmpl w:val="806AD0E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9274281"/>
    <w:multiLevelType w:val="multilevel"/>
    <w:tmpl w:val="34027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51202F"/>
    <w:multiLevelType w:val="multilevel"/>
    <w:tmpl w:val="EB38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F35594"/>
    <w:multiLevelType w:val="multilevel"/>
    <w:tmpl w:val="B46067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F33B28"/>
    <w:multiLevelType w:val="hybridMultilevel"/>
    <w:tmpl w:val="B1B269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1FB7910"/>
    <w:multiLevelType w:val="hybridMultilevel"/>
    <w:tmpl w:val="4F70D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E60960"/>
    <w:multiLevelType w:val="hybridMultilevel"/>
    <w:tmpl w:val="72047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354795"/>
    <w:multiLevelType w:val="multilevel"/>
    <w:tmpl w:val="DF44F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56F7038"/>
    <w:multiLevelType w:val="multilevel"/>
    <w:tmpl w:val="D1CAB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C17E19"/>
    <w:multiLevelType w:val="multilevel"/>
    <w:tmpl w:val="CB12F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4501E8"/>
    <w:multiLevelType w:val="multilevel"/>
    <w:tmpl w:val="A1A84CC2"/>
    <w:lvl w:ilvl="0">
      <w:start w:val="1"/>
      <w:numFmt w:val="decimal"/>
      <w:lvlText w:val="%1"/>
      <w:lvlJc w:val="left"/>
      <w:pPr>
        <w:ind w:left="570" w:hanging="57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bullet"/>
      <w:lvlText w:val=""/>
      <w:lvlJc w:val="left"/>
      <w:pPr>
        <w:ind w:left="108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09074D1"/>
    <w:multiLevelType w:val="multilevel"/>
    <w:tmpl w:val="B438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03256E"/>
    <w:multiLevelType w:val="multilevel"/>
    <w:tmpl w:val="64D0E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BC7980"/>
    <w:multiLevelType w:val="multilevel"/>
    <w:tmpl w:val="DEEC9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BA7C59"/>
    <w:multiLevelType w:val="multilevel"/>
    <w:tmpl w:val="5B181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FF42A9"/>
    <w:multiLevelType w:val="multilevel"/>
    <w:tmpl w:val="2B1C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596698"/>
    <w:multiLevelType w:val="multilevel"/>
    <w:tmpl w:val="26420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706DA4"/>
    <w:multiLevelType w:val="multilevel"/>
    <w:tmpl w:val="164CC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60387E"/>
    <w:multiLevelType w:val="hybridMultilevel"/>
    <w:tmpl w:val="00EE1DB8"/>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41" w15:restartNumberingAfterBreak="0">
    <w:nsid w:val="74CE44B8"/>
    <w:multiLevelType w:val="hybridMultilevel"/>
    <w:tmpl w:val="D5CC8A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E94F90"/>
    <w:multiLevelType w:val="hybridMultilevel"/>
    <w:tmpl w:val="27B0E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261EDD"/>
    <w:multiLevelType w:val="multilevel"/>
    <w:tmpl w:val="7EDC2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840AA3"/>
    <w:multiLevelType w:val="multilevel"/>
    <w:tmpl w:val="61764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FA57B2"/>
    <w:multiLevelType w:val="hybridMultilevel"/>
    <w:tmpl w:val="45C87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79556C"/>
    <w:multiLevelType w:val="hybridMultilevel"/>
    <w:tmpl w:val="94C27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D81D61"/>
    <w:multiLevelType w:val="hybridMultilevel"/>
    <w:tmpl w:val="7F4E389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48" w15:restartNumberingAfterBreak="0">
    <w:nsid w:val="7FA93A35"/>
    <w:multiLevelType w:val="multilevel"/>
    <w:tmpl w:val="62387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7099091">
    <w:abstractNumId w:val="16"/>
  </w:num>
  <w:num w:numId="2" w16cid:durableId="1074745418">
    <w:abstractNumId w:val="21"/>
  </w:num>
  <w:num w:numId="3" w16cid:durableId="598485773">
    <w:abstractNumId w:val="45"/>
  </w:num>
  <w:num w:numId="4" w16cid:durableId="651829723">
    <w:abstractNumId w:val="1"/>
  </w:num>
  <w:num w:numId="5" w16cid:durableId="32655058">
    <w:abstractNumId w:val="17"/>
  </w:num>
  <w:num w:numId="6" w16cid:durableId="2141997984">
    <w:abstractNumId w:val="15"/>
  </w:num>
  <w:num w:numId="7" w16cid:durableId="1400442632">
    <w:abstractNumId w:val="10"/>
  </w:num>
  <w:num w:numId="8" w16cid:durableId="885026683">
    <w:abstractNumId w:val="26"/>
  </w:num>
  <w:num w:numId="9" w16cid:durableId="1622607795">
    <w:abstractNumId w:val="6"/>
  </w:num>
  <w:num w:numId="10" w16cid:durableId="1310135103">
    <w:abstractNumId w:val="9"/>
  </w:num>
  <w:num w:numId="11" w16cid:durableId="1456824565">
    <w:abstractNumId w:val="40"/>
  </w:num>
  <w:num w:numId="12" w16cid:durableId="686297001">
    <w:abstractNumId w:val="47"/>
  </w:num>
  <w:num w:numId="13" w16cid:durableId="2006282838">
    <w:abstractNumId w:val="0"/>
  </w:num>
  <w:num w:numId="14" w16cid:durableId="976640121">
    <w:abstractNumId w:val="41"/>
  </w:num>
  <w:num w:numId="15" w16cid:durableId="1727752337">
    <w:abstractNumId w:val="7"/>
  </w:num>
  <w:num w:numId="16" w16cid:durableId="1081827187">
    <w:abstractNumId w:val="43"/>
  </w:num>
  <w:num w:numId="17" w16cid:durableId="1367481597">
    <w:abstractNumId w:val="22"/>
  </w:num>
  <w:num w:numId="18" w16cid:durableId="2055693464">
    <w:abstractNumId w:val="28"/>
  </w:num>
  <w:num w:numId="19" w16cid:durableId="1516729335">
    <w:abstractNumId w:val="18"/>
  </w:num>
  <w:num w:numId="20" w16cid:durableId="596405658">
    <w:abstractNumId w:val="42"/>
  </w:num>
  <w:num w:numId="21" w16cid:durableId="1222330757">
    <w:abstractNumId w:val="27"/>
  </w:num>
  <w:num w:numId="22" w16cid:durableId="192108883">
    <w:abstractNumId w:val="13"/>
  </w:num>
  <w:num w:numId="23" w16cid:durableId="1524392826">
    <w:abstractNumId w:val="46"/>
  </w:num>
  <w:num w:numId="24" w16cid:durableId="1452627944">
    <w:abstractNumId w:val="20"/>
  </w:num>
  <w:num w:numId="25" w16cid:durableId="853961197">
    <w:abstractNumId w:val="14"/>
  </w:num>
  <w:num w:numId="26" w16cid:durableId="322586864">
    <w:abstractNumId w:val="48"/>
  </w:num>
  <w:num w:numId="27" w16cid:durableId="531580419">
    <w:abstractNumId w:val="39"/>
  </w:num>
  <w:num w:numId="28" w16cid:durableId="36510990">
    <w:abstractNumId w:val="11"/>
  </w:num>
  <w:num w:numId="29" w16cid:durableId="524513749">
    <w:abstractNumId w:val="36"/>
  </w:num>
  <w:num w:numId="30" w16cid:durableId="1950163695">
    <w:abstractNumId w:val="30"/>
  </w:num>
  <w:num w:numId="31" w16cid:durableId="1142499918">
    <w:abstractNumId w:val="38"/>
  </w:num>
  <w:num w:numId="32" w16cid:durableId="1142774794">
    <w:abstractNumId w:val="23"/>
  </w:num>
  <w:num w:numId="33" w16cid:durableId="1869679230">
    <w:abstractNumId w:val="29"/>
  </w:num>
  <w:num w:numId="34" w16cid:durableId="1890916239">
    <w:abstractNumId w:val="24"/>
  </w:num>
  <w:num w:numId="35" w16cid:durableId="1663654323">
    <w:abstractNumId w:val="34"/>
  </w:num>
  <w:num w:numId="36" w16cid:durableId="1285848531">
    <w:abstractNumId w:val="37"/>
  </w:num>
  <w:num w:numId="37" w16cid:durableId="1537161838">
    <w:abstractNumId w:val="32"/>
  </w:num>
  <w:num w:numId="38" w16cid:durableId="1945728221">
    <w:abstractNumId w:val="4"/>
  </w:num>
  <w:num w:numId="39" w16cid:durableId="615139348">
    <w:abstractNumId w:val="19"/>
  </w:num>
  <w:num w:numId="40" w16cid:durableId="640043146">
    <w:abstractNumId w:val="25"/>
  </w:num>
  <w:num w:numId="41" w16cid:durableId="1526291965">
    <w:abstractNumId w:val="8"/>
  </w:num>
  <w:num w:numId="42" w16cid:durableId="2036271320">
    <w:abstractNumId w:val="5"/>
  </w:num>
  <w:num w:numId="43" w16cid:durableId="654603266">
    <w:abstractNumId w:val="3"/>
  </w:num>
  <w:num w:numId="44" w16cid:durableId="1244023340">
    <w:abstractNumId w:val="33"/>
  </w:num>
  <w:num w:numId="45" w16cid:durableId="1841388299">
    <w:abstractNumId w:val="31"/>
  </w:num>
  <w:num w:numId="46" w16cid:durableId="757485248">
    <w:abstractNumId w:val="44"/>
  </w:num>
  <w:num w:numId="47" w16cid:durableId="47265628">
    <w:abstractNumId w:val="35"/>
  </w:num>
  <w:num w:numId="48" w16cid:durableId="619268669">
    <w:abstractNumId w:val="2"/>
  </w:num>
  <w:num w:numId="49" w16cid:durableId="3231236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F86"/>
    <w:rsid w:val="000B67F7"/>
    <w:rsid w:val="005771C7"/>
    <w:rsid w:val="00961A2A"/>
    <w:rsid w:val="00A20F86"/>
    <w:rsid w:val="00CB17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24997"/>
  <w15:chartTrackingRefBased/>
  <w15:docId w15:val="{42053306-BE6F-48E2-BBD8-46EF63A06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0F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A20F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A20F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A20F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0F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A20F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0F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0F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0F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F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A20F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A20F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A20F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0F8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A20F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0F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0F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0F86"/>
    <w:rPr>
      <w:rFonts w:eastAsiaTheme="majorEastAsia" w:cstheme="majorBidi"/>
      <w:color w:val="272727" w:themeColor="text1" w:themeTint="D8"/>
    </w:rPr>
  </w:style>
  <w:style w:type="paragraph" w:styleId="Title">
    <w:name w:val="Title"/>
    <w:basedOn w:val="Normal"/>
    <w:next w:val="Normal"/>
    <w:link w:val="TitleChar"/>
    <w:uiPriority w:val="10"/>
    <w:qFormat/>
    <w:rsid w:val="00A20F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F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F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0F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0F86"/>
    <w:pPr>
      <w:spacing w:before="160"/>
      <w:jc w:val="center"/>
    </w:pPr>
    <w:rPr>
      <w:i/>
      <w:iCs/>
      <w:color w:val="404040" w:themeColor="text1" w:themeTint="BF"/>
    </w:rPr>
  </w:style>
  <w:style w:type="character" w:customStyle="1" w:styleId="QuoteChar">
    <w:name w:val="Quote Char"/>
    <w:basedOn w:val="DefaultParagraphFont"/>
    <w:link w:val="Quote"/>
    <w:uiPriority w:val="29"/>
    <w:rsid w:val="00A20F86"/>
    <w:rPr>
      <w:i/>
      <w:iCs/>
      <w:color w:val="404040" w:themeColor="text1" w:themeTint="BF"/>
    </w:rPr>
  </w:style>
  <w:style w:type="paragraph" w:styleId="ListParagraph">
    <w:name w:val="List Paragraph"/>
    <w:aliases w:val="F5 List Paragraph,Numbered Para 1,Dot pt,No Spacing1,List Paragraph Char Char Char,Indicator Text,List Paragraph1,Bullet Points,MAIN CONTENT,List Paragraph12,Colorful List - Accent 11,Bullet 1"/>
    <w:basedOn w:val="Normal"/>
    <w:link w:val="ListParagraphChar"/>
    <w:uiPriority w:val="34"/>
    <w:qFormat/>
    <w:rsid w:val="00A20F86"/>
    <w:pPr>
      <w:ind w:left="720"/>
      <w:contextualSpacing/>
    </w:pPr>
  </w:style>
  <w:style w:type="character" w:styleId="IntenseEmphasis">
    <w:name w:val="Intense Emphasis"/>
    <w:basedOn w:val="DefaultParagraphFont"/>
    <w:uiPriority w:val="21"/>
    <w:qFormat/>
    <w:rsid w:val="00A20F86"/>
    <w:rPr>
      <w:i/>
      <w:iCs/>
      <w:color w:val="0F4761" w:themeColor="accent1" w:themeShade="BF"/>
    </w:rPr>
  </w:style>
  <w:style w:type="paragraph" w:styleId="IntenseQuote">
    <w:name w:val="Intense Quote"/>
    <w:basedOn w:val="Normal"/>
    <w:next w:val="Normal"/>
    <w:link w:val="IntenseQuoteChar"/>
    <w:uiPriority w:val="30"/>
    <w:qFormat/>
    <w:rsid w:val="00A20F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0F86"/>
    <w:rPr>
      <w:i/>
      <w:iCs/>
      <w:color w:val="0F4761" w:themeColor="accent1" w:themeShade="BF"/>
    </w:rPr>
  </w:style>
  <w:style w:type="character" w:styleId="IntenseReference">
    <w:name w:val="Intense Reference"/>
    <w:basedOn w:val="DefaultParagraphFont"/>
    <w:uiPriority w:val="32"/>
    <w:qFormat/>
    <w:rsid w:val="00A20F86"/>
    <w:rPr>
      <w:b/>
      <w:bCs/>
      <w:smallCaps/>
      <w:color w:val="0F4761" w:themeColor="accent1" w:themeShade="BF"/>
      <w:spacing w:val="5"/>
    </w:rPr>
  </w:style>
  <w:style w:type="numbering" w:customStyle="1" w:styleId="NoList1">
    <w:name w:val="No List1"/>
    <w:next w:val="NoList"/>
    <w:uiPriority w:val="99"/>
    <w:semiHidden/>
    <w:unhideWhenUsed/>
    <w:rsid w:val="00A20F86"/>
  </w:style>
  <w:style w:type="table" w:styleId="TableGrid">
    <w:name w:val="Table Grid"/>
    <w:basedOn w:val="TableNormal"/>
    <w:uiPriority w:val="59"/>
    <w:rsid w:val="00A20F8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A20F86"/>
    <w:rPr>
      <w:b/>
      <w:bCs/>
    </w:rPr>
  </w:style>
  <w:style w:type="paragraph" w:customStyle="1" w:styleId="TextR">
    <w:name w:val="TextR"/>
    <w:basedOn w:val="Normal"/>
    <w:rsid w:val="00A20F86"/>
    <w:pPr>
      <w:overflowPunct w:val="0"/>
      <w:autoSpaceDE w:val="0"/>
      <w:autoSpaceDN w:val="0"/>
      <w:adjustRightInd w:val="0"/>
      <w:spacing w:after="0" w:line="240" w:lineRule="auto"/>
      <w:textAlignment w:val="baseline"/>
    </w:pPr>
    <w:rPr>
      <w:rFonts w:ascii="Arial" w:eastAsia="Times New Roman" w:hAnsi="Arial" w:cs="Times New Roman"/>
      <w:kern w:val="0"/>
      <w:szCs w:val="20"/>
      <w:lang w:eastAsia="en-GB"/>
      <w14:ligatures w14:val="none"/>
    </w:rPr>
  </w:style>
  <w:style w:type="paragraph" w:styleId="BalloonText">
    <w:name w:val="Balloon Text"/>
    <w:basedOn w:val="Normal"/>
    <w:link w:val="BalloonTextChar"/>
    <w:rsid w:val="00A20F86"/>
    <w:pPr>
      <w:spacing w:after="0" w:line="240" w:lineRule="auto"/>
    </w:pPr>
    <w:rPr>
      <w:rFonts w:ascii="Tahoma" w:eastAsia="Times New Roman" w:hAnsi="Tahoma" w:cs="Tahoma"/>
      <w:kern w:val="0"/>
      <w:sz w:val="16"/>
      <w:szCs w:val="16"/>
      <w:lang w:eastAsia="en-GB"/>
      <w14:ligatures w14:val="none"/>
    </w:rPr>
  </w:style>
  <w:style w:type="character" w:customStyle="1" w:styleId="BalloonTextChar">
    <w:name w:val="Balloon Text Char"/>
    <w:basedOn w:val="DefaultParagraphFont"/>
    <w:link w:val="BalloonText"/>
    <w:rsid w:val="00A20F86"/>
    <w:rPr>
      <w:rFonts w:ascii="Tahoma" w:eastAsia="Times New Roman" w:hAnsi="Tahoma" w:cs="Tahoma"/>
      <w:kern w:val="0"/>
      <w:sz w:val="16"/>
      <w:szCs w:val="16"/>
      <w:lang w:eastAsia="en-GB"/>
      <w14:ligatures w14:val="none"/>
    </w:rPr>
  </w:style>
  <w:style w:type="table" w:styleId="TableGrid1">
    <w:name w:val="Table Grid 1"/>
    <w:basedOn w:val="TableNormal"/>
    <w:rsid w:val="00A20F86"/>
    <w:pPr>
      <w:spacing w:after="0" w:line="240" w:lineRule="auto"/>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Header">
    <w:name w:val="header"/>
    <w:basedOn w:val="Normal"/>
    <w:link w:val="HeaderChar"/>
    <w:rsid w:val="00A20F86"/>
    <w:pPr>
      <w:tabs>
        <w:tab w:val="center" w:pos="4513"/>
        <w:tab w:val="right" w:pos="9026"/>
      </w:tabs>
      <w:spacing w:after="0" w:line="240" w:lineRule="auto"/>
    </w:pPr>
    <w:rPr>
      <w:rFonts w:ascii="Arial" w:eastAsia="Times New Roman" w:hAnsi="Arial" w:cs="Times New Roman"/>
      <w:kern w:val="0"/>
      <w:lang w:eastAsia="en-GB"/>
      <w14:ligatures w14:val="none"/>
    </w:rPr>
  </w:style>
  <w:style w:type="character" w:customStyle="1" w:styleId="HeaderChar">
    <w:name w:val="Header Char"/>
    <w:basedOn w:val="DefaultParagraphFont"/>
    <w:link w:val="Header"/>
    <w:rsid w:val="00A20F86"/>
    <w:rPr>
      <w:rFonts w:ascii="Arial" w:eastAsia="Times New Roman" w:hAnsi="Arial" w:cs="Times New Roman"/>
      <w:kern w:val="0"/>
      <w:lang w:eastAsia="en-GB"/>
      <w14:ligatures w14:val="none"/>
    </w:rPr>
  </w:style>
  <w:style w:type="paragraph" w:styleId="Footer">
    <w:name w:val="footer"/>
    <w:basedOn w:val="Normal"/>
    <w:link w:val="FooterChar"/>
    <w:rsid w:val="00A20F86"/>
    <w:pPr>
      <w:tabs>
        <w:tab w:val="center" w:pos="4513"/>
        <w:tab w:val="right" w:pos="9026"/>
      </w:tabs>
      <w:spacing w:after="0" w:line="240" w:lineRule="auto"/>
    </w:pPr>
    <w:rPr>
      <w:rFonts w:ascii="Arial" w:eastAsia="Times New Roman" w:hAnsi="Arial" w:cs="Times New Roman"/>
      <w:kern w:val="0"/>
      <w:lang w:eastAsia="en-GB"/>
      <w14:ligatures w14:val="none"/>
    </w:rPr>
  </w:style>
  <w:style w:type="character" w:customStyle="1" w:styleId="FooterChar">
    <w:name w:val="Footer Char"/>
    <w:basedOn w:val="DefaultParagraphFont"/>
    <w:link w:val="Footer"/>
    <w:rsid w:val="00A20F86"/>
    <w:rPr>
      <w:rFonts w:ascii="Arial" w:eastAsia="Times New Roman" w:hAnsi="Arial" w:cs="Times New Roman"/>
      <w:kern w:val="0"/>
      <w:lang w:eastAsia="en-GB"/>
      <w14:ligatures w14:val="none"/>
    </w:rPr>
  </w:style>
  <w:style w:type="paragraph" w:styleId="NoSpacing">
    <w:name w:val="No Spacing"/>
    <w:link w:val="NoSpacingChar"/>
    <w:uiPriority w:val="1"/>
    <w:qFormat/>
    <w:rsid w:val="00A20F86"/>
    <w:pPr>
      <w:spacing w:after="0" w:line="240" w:lineRule="auto"/>
    </w:pPr>
    <w:rPr>
      <w:rFonts w:ascii="Arial" w:eastAsia="Arial" w:hAnsi="Arial" w:cs="Times New Roman"/>
      <w:kern w:val="0"/>
      <w:sz w:val="22"/>
      <w:szCs w:val="22"/>
      <w14:ligatures w14:val="none"/>
    </w:rPr>
  </w:style>
  <w:style w:type="table" w:customStyle="1" w:styleId="ListTable3-Accent21">
    <w:name w:val="List Table 3 - Accent 21"/>
    <w:basedOn w:val="TableNormal"/>
    <w:next w:val="ListTable3-Accent2"/>
    <w:uiPriority w:val="48"/>
    <w:rsid w:val="00A20F86"/>
    <w:pPr>
      <w:spacing w:after="0" w:line="240" w:lineRule="auto"/>
    </w:pPr>
    <w:rPr>
      <w:rFonts w:ascii="Times New Roman" w:eastAsia="Times New Roman" w:hAnsi="Times New Roman" w:cs="Times New Roman"/>
      <w:kern w:val="0"/>
      <w:sz w:val="20"/>
      <w:szCs w:val="20"/>
      <w:lang w:eastAsia="en-GB"/>
      <w14:ligatures w14:val="none"/>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character" w:styleId="Hyperlink">
    <w:name w:val="Hyperlink"/>
    <w:rsid w:val="00A20F86"/>
    <w:rPr>
      <w:color w:val="0000FF"/>
      <w:u w:val="single"/>
    </w:rPr>
  </w:style>
  <w:style w:type="character" w:styleId="PageNumber">
    <w:name w:val="page number"/>
    <w:basedOn w:val="DefaultParagraphFont"/>
    <w:rsid w:val="00A20F86"/>
  </w:style>
  <w:style w:type="character" w:customStyle="1" w:styleId="ListParagraphChar">
    <w:name w:val="List Paragraph Char"/>
    <w:aliases w:val="F5 List Paragraph Char,Numbered Para 1 Char,Dot pt Char,No Spacing1 Char,List Paragraph Char Char Char Char,Indicator Text Char,List Paragraph1 Char,Bullet Points Char,MAIN CONTENT Char,List Paragraph12 Char,Bullet 1 Char"/>
    <w:link w:val="ListParagraph"/>
    <w:uiPriority w:val="34"/>
    <w:qFormat/>
    <w:locked/>
    <w:rsid w:val="00A20F86"/>
  </w:style>
  <w:style w:type="paragraph" w:styleId="FootnoteText">
    <w:name w:val="footnote text"/>
    <w:basedOn w:val="Normal"/>
    <w:link w:val="FootnoteTextChar"/>
    <w:rsid w:val="00A20F86"/>
    <w:pPr>
      <w:spacing w:after="0" w:line="240" w:lineRule="auto"/>
    </w:pPr>
    <w:rPr>
      <w:rFonts w:ascii="Arial" w:eastAsia="Times New Roman" w:hAnsi="Arial" w:cs="Times New Roman"/>
      <w:kern w:val="0"/>
      <w:sz w:val="20"/>
      <w:szCs w:val="20"/>
      <w:lang w:eastAsia="en-GB"/>
      <w14:ligatures w14:val="none"/>
    </w:rPr>
  </w:style>
  <w:style w:type="character" w:customStyle="1" w:styleId="FootnoteTextChar">
    <w:name w:val="Footnote Text Char"/>
    <w:basedOn w:val="DefaultParagraphFont"/>
    <w:link w:val="FootnoteText"/>
    <w:rsid w:val="00A20F86"/>
    <w:rPr>
      <w:rFonts w:ascii="Arial" w:eastAsia="Times New Roman" w:hAnsi="Arial" w:cs="Times New Roman"/>
      <w:kern w:val="0"/>
      <w:sz w:val="20"/>
      <w:szCs w:val="20"/>
      <w:lang w:eastAsia="en-GB"/>
      <w14:ligatures w14:val="none"/>
    </w:rPr>
  </w:style>
  <w:style w:type="character" w:styleId="FootnoteReference">
    <w:name w:val="footnote reference"/>
    <w:basedOn w:val="DefaultParagraphFont"/>
    <w:rsid w:val="00A20F86"/>
    <w:rPr>
      <w:vertAlign w:val="superscript"/>
    </w:rPr>
  </w:style>
  <w:style w:type="character" w:styleId="UnresolvedMention">
    <w:name w:val="Unresolved Mention"/>
    <w:basedOn w:val="DefaultParagraphFont"/>
    <w:uiPriority w:val="99"/>
    <w:semiHidden/>
    <w:unhideWhenUsed/>
    <w:rsid w:val="00A20F86"/>
    <w:rPr>
      <w:color w:val="605E5C"/>
      <w:shd w:val="clear" w:color="auto" w:fill="E1DFDD"/>
    </w:rPr>
  </w:style>
  <w:style w:type="character" w:customStyle="1" w:styleId="Bullets">
    <w:name w:val="Bullets"/>
    <w:rsid w:val="00A20F86"/>
    <w:rPr>
      <w:rFonts w:ascii="OpenSymbol" w:eastAsia="OpenSymbol" w:hAnsi="OpenSymbol" w:cs="OpenSymbol"/>
    </w:rPr>
  </w:style>
  <w:style w:type="paragraph" w:customStyle="1" w:styleId="Heading">
    <w:name w:val="Heading"/>
    <w:basedOn w:val="Normal"/>
    <w:next w:val="BodyText"/>
    <w:rsid w:val="00A20F86"/>
    <w:pPr>
      <w:keepNext/>
      <w:widowControl w:val="0"/>
      <w:suppressAutoHyphens/>
      <w:spacing w:before="240" w:after="120" w:line="240" w:lineRule="auto"/>
    </w:pPr>
    <w:rPr>
      <w:rFonts w:ascii="Arial" w:eastAsia="Lucida Sans Unicode" w:hAnsi="Arial" w:cs="Mangal"/>
      <w:kern w:val="1"/>
      <w:sz w:val="28"/>
      <w:szCs w:val="28"/>
      <w:lang w:eastAsia="hi-IN" w:bidi="hi-IN"/>
      <w14:ligatures w14:val="none"/>
    </w:rPr>
  </w:style>
  <w:style w:type="paragraph" w:styleId="BodyText">
    <w:name w:val="Body Text"/>
    <w:basedOn w:val="Normal"/>
    <w:link w:val="BodyTextChar"/>
    <w:rsid w:val="00A20F86"/>
    <w:pPr>
      <w:widowControl w:val="0"/>
      <w:suppressAutoHyphens/>
      <w:spacing w:after="120" w:line="240" w:lineRule="auto"/>
    </w:pPr>
    <w:rPr>
      <w:rFonts w:ascii="Times New Roman" w:eastAsia="Lucida Sans Unicode" w:hAnsi="Times New Roman" w:cs="Mangal"/>
      <w:kern w:val="1"/>
      <w:lang w:eastAsia="hi-IN" w:bidi="hi-IN"/>
      <w14:ligatures w14:val="none"/>
    </w:rPr>
  </w:style>
  <w:style w:type="character" w:customStyle="1" w:styleId="BodyTextChar">
    <w:name w:val="Body Text Char"/>
    <w:basedOn w:val="DefaultParagraphFont"/>
    <w:link w:val="BodyText"/>
    <w:rsid w:val="00A20F86"/>
    <w:rPr>
      <w:rFonts w:ascii="Times New Roman" w:eastAsia="Lucida Sans Unicode" w:hAnsi="Times New Roman" w:cs="Mangal"/>
      <w:kern w:val="1"/>
      <w:lang w:eastAsia="hi-IN" w:bidi="hi-IN"/>
      <w14:ligatures w14:val="none"/>
    </w:rPr>
  </w:style>
  <w:style w:type="paragraph" w:styleId="List">
    <w:name w:val="List"/>
    <w:basedOn w:val="BodyText"/>
    <w:rsid w:val="00A20F86"/>
  </w:style>
  <w:style w:type="paragraph" w:styleId="Caption">
    <w:name w:val="caption"/>
    <w:basedOn w:val="Normal"/>
    <w:qFormat/>
    <w:rsid w:val="00A20F86"/>
    <w:pPr>
      <w:widowControl w:val="0"/>
      <w:suppressLineNumbers/>
      <w:suppressAutoHyphens/>
      <w:spacing w:before="120" w:after="120" w:line="240" w:lineRule="auto"/>
    </w:pPr>
    <w:rPr>
      <w:rFonts w:ascii="Times New Roman" w:eastAsia="Lucida Sans Unicode" w:hAnsi="Times New Roman" w:cs="Mangal"/>
      <w:i/>
      <w:iCs/>
      <w:kern w:val="1"/>
      <w:lang w:eastAsia="hi-IN" w:bidi="hi-IN"/>
      <w14:ligatures w14:val="none"/>
    </w:rPr>
  </w:style>
  <w:style w:type="paragraph" w:customStyle="1" w:styleId="Index">
    <w:name w:val="Index"/>
    <w:basedOn w:val="Normal"/>
    <w:rsid w:val="00A20F86"/>
    <w:pPr>
      <w:widowControl w:val="0"/>
      <w:suppressLineNumbers/>
      <w:suppressAutoHyphens/>
      <w:spacing w:after="0" w:line="240" w:lineRule="auto"/>
    </w:pPr>
    <w:rPr>
      <w:rFonts w:ascii="Times New Roman" w:eastAsia="Lucida Sans Unicode" w:hAnsi="Times New Roman" w:cs="Mangal"/>
      <w:kern w:val="1"/>
      <w:lang w:eastAsia="hi-IN" w:bidi="hi-IN"/>
      <w14:ligatures w14:val="none"/>
    </w:rPr>
  </w:style>
  <w:style w:type="paragraph" w:customStyle="1" w:styleId="TableContents">
    <w:name w:val="Table Contents"/>
    <w:basedOn w:val="Normal"/>
    <w:rsid w:val="00A20F86"/>
    <w:pPr>
      <w:widowControl w:val="0"/>
      <w:suppressLineNumbers/>
      <w:suppressAutoHyphens/>
      <w:spacing w:after="0" w:line="240" w:lineRule="auto"/>
    </w:pPr>
    <w:rPr>
      <w:rFonts w:ascii="Times New Roman" w:eastAsia="Lucida Sans Unicode" w:hAnsi="Times New Roman" w:cs="Mangal"/>
      <w:kern w:val="1"/>
      <w:lang w:eastAsia="hi-IN" w:bidi="hi-IN"/>
      <w14:ligatures w14:val="none"/>
    </w:rPr>
  </w:style>
  <w:style w:type="paragraph" w:styleId="PlainText">
    <w:name w:val="Plain Text"/>
    <w:basedOn w:val="Normal"/>
    <w:link w:val="PlainTextChar"/>
    <w:uiPriority w:val="99"/>
    <w:unhideWhenUsed/>
    <w:rsid w:val="00A20F86"/>
    <w:pPr>
      <w:spacing w:after="0" w:line="240" w:lineRule="auto"/>
    </w:pPr>
    <w:rPr>
      <w:rFonts w:ascii="Arial" w:eastAsia="Calibri" w:hAnsi="Arial" w:cs="Times New Roman"/>
      <w:kern w:val="0"/>
      <w:szCs w:val="21"/>
      <w14:ligatures w14:val="none"/>
    </w:rPr>
  </w:style>
  <w:style w:type="character" w:customStyle="1" w:styleId="PlainTextChar">
    <w:name w:val="Plain Text Char"/>
    <w:basedOn w:val="DefaultParagraphFont"/>
    <w:link w:val="PlainText"/>
    <w:uiPriority w:val="99"/>
    <w:rsid w:val="00A20F86"/>
    <w:rPr>
      <w:rFonts w:ascii="Arial" w:eastAsia="Calibri" w:hAnsi="Arial" w:cs="Times New Roman"/>
      <w:kern w:val="0"/>
      <w:szCs w:val="21"/>
      <w14:ligatures w14:val="none"/>
    </w:rPr>
  </w:style>
  <w:style w:type="paragraph" w:styleId="ListBullet">
    <w:name w:val="List Bullet"/>
    <w:basedOn w:val="Normal"/>
    <w:rsid w:val="00A20F86"/>
    <w:pPr>
      <w:widowControl w:val="0"/>
      <w:numPr>
        <w:numId w:val="13"/>
      </w:numPr>
      <w:tabs>
        <w:tab w:val="clear" w:pos="360"/>
      </w:tabs>
      <w:suppressAutoHyphens/>
      <w:spacing w:after="0" w:line="240" w:lineRule="auto"/>
      <w:ind w:left="0" w:firstLine="0"/>
      <w:contextualSpacing/>
    </w:pPr>
    <w:rPr>
      <w:rFonts w:ascii="Times New Roman" w:eastAsia="Lucida Sans Unicode" w:hAnsi="Times New Roman" w:cs="Mangal"/>
      <w:kern w:val="1"/>
      <w:szCs w:val="21"/>
      <w:lang w:eastAsia="hi-IN" w:bidi="hi-IN"/>
      <w14:ligatures w14:val="none"/>
    </w:rPr>
  </w:style>
  <w:style w:type="paragraph" w:styleId="Revision">
    <w:name w:val="Revision"/>
    <w:hidden/>
    <w:uiPriority w:val="99"/>
    <w:semiHidden/>
    <w:rsid w:val="00A20F86"/>
    <w:pPr>
      <w:spacing w:after="0" w:line="240" w:lineRule="auto"/>
    </w:pPr>
    <w:rPr>
      <w:rFonts w:ascii="Times New Roman" w:eastAsia="Lucida Sans Unicode" w:hAnsi="Times New Roman" w:cs="Mangal"/>
      <w:kern w:val="1"/>
      <w:szCs w:val="21"/>
      <w:lang w:eastAsia="hi-IN" w:bidi="hi-IN"/>
      <w14:ligatures w14:val="none"/>
    </w:rPr>
  </w:style>
  <w:style w:type="character" w:styleId="CommentReference">
    <w:name w:val="annotation reference"/>
    <w:basedOn w:val="DefaultParagraphFont"/>
    <w:uiPriority w:val="99"/>
    <w:rsid w:val="00A20F86"/>
    <w:rPr>
      <w:sz w:val="16"/>
      <w:szCs w:val="16"/>
    </w:rPr>
  </w:style>
  <w:style w:type="paragraph" w:styleId="CommentText">
    <w:name w:val="annotation text"/>
    <w:basedOn w:val="Normal"/>
    <w:link w:val="CommentTextChar"/>
    <w:uiPriority w:val="99"/>
    <w:rsid w:val="00A20F86"/>
    <w:pPr>
      <w:widowControl w:val="0"/>
      <w:suppressAutoHyphens/>
      <w:spacing w:after="0" w:line="240" w:lineRule="auto"/>
    </w:pPr>
    <w:rPr>
      <w:rFonts w:ascii="Times New Roman" w:eastAsia="Lucida Sans Unicode" w:hAnsi="Times New Roman" w:cs="Mangal"/>
      <w:kern w:val="1"/>
      <w:sz w:val="20"/>
      <w:szCs w:val="18"/>
      <w:lang w:eastAsia="hi-IN" w:bidi="hi-IN"/>
      <w14:ligatures w14:val="none"/>
    </w:rPr>
  </w:style>
  <w:style w:type="character" w:customStyle="1" w:styleId="CommentTextChar">
    <w:name w:val="Comment Text Char"/>
    <w:basedOn w:val="DefaultParagraphFont"/>
    <w:link w:val="CommentText"/>
    <w:uiPriority w:val="99"/>
    <w:rsid w:val="00A20F86"/>
    <w:rPr>
      <w:rFonts w:ascii="Times New Roman" w:eastAsia="Lucida Sans Unicode" w:hAnsi="Times New Roman" w:cs="Mangal"/>
      <w:kern w:val="1"/>
      <w:sz w:val="20"/>
      <w:szCs w:val="18"/>
      <w:lang w:eastAsia="hi-IN" w:bidi="hi-IN"/>
      <w14:ligatures w14:val="none"/>
    </w:rPr>
  </w:style>
  <w:style w:type="paragraph" w:styleId="CommentSubject">
    <w:name w:val="annotation subject"/>
    <w:basedOn w:val="CommentText"/>
    <w:next w:val="CommentText"/>
    <w:link w:val="CommentSubjectChar"/>
    <w:rsid w:val="00A20F86"/>
    <w:rPr>
      <w:b/>
      <w:bCs/>
    </w:rPr>
  </w:style>
  <w:style w:type="character" w:customStyle="1" w:styleId="CommentSubjectChar">
    <w:name w:val="Comment Subject Char"/>
    <w:basedOn w:val="CommentTextChar"/>
    <w:link w:val="CommentSubject"/>
    <w:rsid w:val="00A20F86"/>
    <w:rPr>
      <w:rFonts w:ascii="Times New Roman" w:eastAsia="Lucida Sans Unicode" w:hAnsi="Times New Roman" w:cs="Mangal"/>
      <w:b/>
      <w:bCs/>
      <w:kern w:val="1"/>
      <w:sz w:val="20"/>
      <w:szCs w:val="18"/>
      <w:lang w:eastAsia="hi-IN" w:bidi="hi-IN"/>
      <w14:ligatures w14:val="none"/>
    </w:rPr>
  </w:style>
  <w:style w:type="paragraph" w:styleId="NormalWeb">
    <w:name w:val="Normal (Web)"/>
    <w:basedOn w:val="Normal"/>
    <w:uiPriority w:val="99"/>
    <w:unhideWhenUsed/>
    <w:rsid w:val="00A20F8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customStyle="1" w:styleId="GridTable4-Accent11">
    <w:name w:val="Grid Table 4 - Accent 11"/>
    <w:basedOn w:val="TableNormal"/>
    <w:next w:val="GridTable4-Accent1"/>
    <w:uiPriority w:val="49"/>
    <w:rsid w:val="00A20F86"/>
    <w:pPr>
      <w:spacing w:after="0" w:line="240" w:lineRule="auto"/>
    </w:pPr>
    <w:rPr>
      <w:rFonts w:ascii="Times New Roman" w:eastAsia="Times New Roman" w:hAnsi="Times New Roman" w:cs="Times New Roman"/>
      <w:kern w:val="0"/>
      <w:sz w:val="20"/>
      <w:szCs w:val="20"/>
      <w:lang w:eastAsia="en-GB"/>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
    <w:name w:val="Grid Table 4 - Accent 12"/>
    <w:basedOn w:val="TableNormal"/>
    <w:next w:val="GridTable4-Accent1"/>
    <w:uiPriority w:val="49"/>
    <w:rsid w:val="00A20F86"/>
    <w:pPr>
      <w:spacing w:after="0" w:line="240" w:lineRule="auto"/>
    </w:pPr>
    <w:rPr>
      <w:rFonts w:ascii="Times New Roman" w:eastAsia="Times New Roman" w:hAnsi="Times New Roman" w:cs="Times New Roman"/>
      <w:kern w:val="0"/>
      <w:sz w:val="20"/>
      <w:szCs w:val="20"/>
      <w:lang w:eastAsia="en-GB"/>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NoSpacingChar">
    <w:name w:val="No Spacing Char"/>
    <w:link w:val="NoSpacing"/>
    <w:uiPriority w:val="1"/>
    <w:locked/>
    <w:rsid w:val="00A20F86"/>
    <w:rPr>
      <w:rFonts w:ascii="Arial" w:eastAsia="Arial" w:hAnsi="Arial" w:cs="Times New Roman"/>
      <w:kern w:val="0"/>
      <w:sz w:val="22"/>
      <w:szCs w:val="22"/>
      <w14:ligatures w14:val="none"/>
    </w:rPr>
  </w:style>
  <w:style w:type="character" w:customStyle="1" w:styleId="FollowedHyperlink1">
    <w:name w:val="FollowedHyperlink1"/>
    <w:basedOn w:val="DefaultParagraphFont"/>
    <w:unhideWhenUsed/>
    <w:rsid w:val="00A20F86"/>
    <w:rPr>
      <w:color w:val="954F72"/>
      <w:u w:val="single"/>
    </w:rPr>
  </w:style>
  <w:style w:type="character" w:customStyle="1" w:styleId="normaltextrun">
    <w:name w:val="normaltextrun"/>
    <w:basedOn w:val="DefaultParagraphFont"/>
    <w:rsid w:val="00A20F86"/>
  </w:style>
  <w:style w:type="paragraph" w:customStyle="1" w:styleId="paragraph">
    <w:name w:val="paragraph"/>
    <w:basedOn w:val="Normal"/>
    <w:rsid w:val="00A20F8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A20F86"/>
  </w:style>
  <w:style w:type="character" w:customStyle="1" w:styleId="scxw14544879">
    <w:name w:val="scxw14544879"/>
    <w:basedOn w:val="DefaultParagraphFont"/>
    <w:rsid w:val="00A20F86"/>
  </w:style>
  <w:style w:type="paragraph" w:customStyle="1" w:styleId="ui-chatitem">
    <w:name w:val="ui-chat__item"/>
    <w:basedOn w:val="Normal"/>
    <w:rsid w:val="00A20F8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fui-text">
    <w:name w:val="fui-text"/>
    <w:basedOn w:val="DefaultParagraphFont"/>
    <w:rsid w:val="00A20F86"/>
  </w:style>
  <w:style w:type="character" w:customStyle="1" w:styleId="timestampscreenreaderfriendly-359">
    <w:name w:val="timestampscreenreaderfriendly-359"/>
    <w:basedOn w:val="DefaultParagraphFont"/>
    <w:rsid w:val="00A20F86"/>
  </w:style>
  <w:style w:type="table" w:customStyle="1" w:styleId="TableGridLight1">
    <w:name w:val="Table Grid Light1"/>
    <w:basedOn w:val="TableNormal"/>
    <w:next w:val="TableGridLight"/>
    <w:uiPriority w:val="40"/>
    <w:rsid w:val="00A20F8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0">
    <w:name w:val="Table Grid1"/>
    <w:basedOn w:val="TableNormal"/>
    <w:next w:val="TableGrid"/>
    <w:uiPriority w:val="39"/>
    <w:rsid w:val="00A20F86"/>
    <w:pPr>
      <w:spacing w:after="0" w:line="240" w:lineRule="auto"/>
    </w:pPr>
    <w:rPr>
      <w:rFonts w:ascii="Arial" w:hAnsi="Arial"/>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2">
    <w:name w:val="List Table 3 Accent 2"/>
    <w:basedOn w:val="TableNormal"/>
    <w:uiPriority w:val="48"/>
    <w:rsid w:val="00A20F86"/>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GridTable4-Accent1">
    <w:name w:val="Grid Table 4 Accent 1"/>
    <w:basedOn w:val="TableNormal"/>
    <w:uiPriority w:val="49"/>
    <w:rsid w:val="00A20F8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FollowedHyperlink">
    <w:name w:val="FollowedHyperlink"/>
    <w:basedOn w:val="DefaultParagraphFont"/>
    <w:uiPriority w:val="99"/>
    <w:semiHidden/>
    <w:unhideWhenUsed/>
    <w:rsid w:val="00A20F86"/>
    <w:rPr>
      <w:color w:val="96607D" w:themeColor="followedHyperlink"/>
      <w:u w:val="single"/>
    </w:rPr>
  </w:style>
  <w:style w:type="table" w:styleId="TableGridLight">
    <w:name w:val="Grid Table Light"/>
    <w:basedOn w:val="TableNormal"/>
    <w:uiPriority w:val="40"/>
    <w:rsid w:val="00A20F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areth.rott@essex.gov.uk"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mailto:yannick.stupples-whyley@essex.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1F8DD051C72C428168E50FDAF77933" ma:contentTypeVersion="17" ma:contentTypeDescription="Create a new document." ma:contentTypeScope="" ma:versionID="9ec8fc1d174a8683cbdb673177373c77">
  <xsd:schema xmlns:xsd="http://www.w3.org/2001/XMLSchema" xmlns:xs="http://www.w3.org/2001/XMLSchema" xmlns:p="http://schemas.microsoft.com/office/2006/metadata/properties" xmlns:ns2="f501759c-6e27-42a7-bc53-ace532592aeb" xmlns:ns3="25673766-e0b5-4eed-8a95-be56a8e8bf9c" xmlns:ns4="6a461f78-e7a2-485a-8a47-5fc604b04102" targetNamespace="http://schemas.microsoft.com/office/2006/metadata/properties" ma:root="true" ma:fieldsID="229116a56453f9e16aa558ab96c2b3ae" ns2:_="" ns3:_="" ns4:_="">
    <xsd:import namespace="f501759c-6e27-42a7-bc53-ace532592aeb"/>
    <xsd:import namespace="25673766-e0b5-4eed-8a95-be56a8e8bf9c"/>
    <xsd:import namespace="6a461f78-e7a2-485a-8a47-5fc604b041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1759c-6e27-42a7-bc53-ace532592a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1de9a85-6517-4fbb-af6e-3d8f59a4cb5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673766-e0b5-4eed-8a95-be56a8e8bf9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461f78-e7a2-485a-8a47-5fc604b04102"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645350a-5912-4104-8c89-af87599bca1d}" ma:internalName="TaxCatchAll" ma:showField="CatchAllData" ma:web="25673766-e0b5-4eed-8a95-be56a8e8b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a461f78-e7a2-485a-8a47-5fc604b04102"/>
    <lcf76f155ced4ddcb4097134ff3c332f xmlns="f501759c-6e27-42a7-bc53-ace532592a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F398E5-2BB6-4D9C-861E-D27671FB1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1759c-6e27-42a7-bc53-ace532592aeb"/>
    <ds:schemaRef ds:uri="25673766-e0b5-4eed-8a95-be56a8e8bf9c"/>
    <ds:schemaRef ds:uri="6a461f78-e7a2-485a-8a47-5fc604b04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C60D61-E69A-4DB3-89AC-888AAED1881F}">
  <ds:schemaRefs>
    <ds:schemaRef ds:uri="http://schemas.microsoft.com/sharepoint/v3/contenttype/forms"/>
  </ds:schemaRefs>
</ds:datastoreItem>
</file>

<file path=customXml/itemProps3.xml><?xml version="1.0" encoding="utf-8"?>
<ds:datastoreItem xmlns:ds="http://schemas.openxmlformats.org/officeDocument/2006/customXml" ds:itemID="{F71BFBAE-47AD-4984-A65D-D1391460BC20}">
  <ds:schemaRefs>
    <ds:schemaRef ds:uri="http://schemas.microsoft.com/office/2006/metadata/properties"/>
    <ds:schemaRef ds:uri="http://schemas.microsoft.com/office/infopath/2007/PartnerControls"/>
    <ds:schemaRef ds:uri="6a461f78-e7a2-485a-8a47-5fc604b04102"/>
    <ds:schemaRef ds:uri="f501759c-6e27-42a7-bc53-ace532592ae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3867</Words>
  <Characters>22046</Characters>
  <Application>Microsoft Office Word</Application>
  <DocSecurity>0</DocSecurity>
  <Lines>183</Lines>
  <Paragraphs>51</Paragraphs>
  <ScaleCrop>false</ScaleCrop>
  <Company>Essex County Council</Company>
  <LinksUpToDate>false</LinksUpToDate>
  <CharactersWithSpaces>25862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Stupples-Whyley - Senior Finance Business Partner</dc:creator>
  <cp:keywords/>
  <dc:description/>
  <cp:lastModifiedBy>Yannick Stupples-Whyley - Senior Finance Business Partner</cp:lastModifiedBy>
  <cp:revision>2</cp:revision>
  <dcterms:created xsi:type="dcterms:W3CDTF">2026-09-23T12:52:00Z</dcterms:created>
  <dcterms:modified xsi:type="dcterms:W3CDTF">2026-09-23T12:52:00Z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0x010100E31F8DD051C72C428168E50FDAF77933</vt:lpwstr>
  </property>
  <property fmtid="{D5CDD505-2E9C-101B-9397-08002B2CF9AE}" pid="3" name="MSIP_Label_39d8be9e-c8d9-4b9c-bd40-2c27cc7ea2e6_Enabled">
    <vt:lpwstr>true</vt:lpwstr>
  </property>
  <property fmtid="{D5CDD505-2E9C-101B-9397-08002B2CF9AE}" pid="4" name="MSIP_Label_39d8be9e-c8d9-4b9c-bd40-2c27cc7ea2e6_SetDate">
    <vt:lpwstr>2026-09-23T12:51:42Z</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089dc481-00b0-4f1b-8a63-b85d6a44e85c</vt:lpwstr>
  </property>
  <property fmtid="{D5CDD505-2E9C-101B-9397-08002B2CF9AE}" pid="9" name="MSIP_Label_39d8be9e-c8d9-4b9c-bd40-2c27cc7ea2e6_ContentBits">
    <vt:lpwstr>0</vt:lpwstr>
  </property>
  <property fmtid="{D5CDD505-2E9C-101B-9397-08002B2CF9AE}" pid="10" name="MSIP_Label_39d8be9e-c8d9-4b9c-bd40-2c27cc7ea2e6_Tag">
    <vt:lpwstr>10, 3, 0, 1</vt:lpwstr>
  </property>
</Properties>
</file>